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F4C820" w14:textId="13A362AB" w:rsidR="00BD5549" w:rsidRPr="00B96F50" w:rsidRDefault="00BD5549" w:rsidP="00076EFE">
      <w:pPr>
        <w:jc w:val="center"/>
        <w:rPr>
          <w:b/>
          <w:bCs/>
          <w:noProof/>
        </w:rPr>
      </w:pPr>
      <w:r w:rsidRPr="00B96F50">
        <w:rPr>
          <w:b/>
          <w:bCs/>
          <w:noProof/>
        </w:rPr>
        <w:t>EFSPI Meeting with MHRA Statisticians</w:t>
      </w:r>
      <w:r w:rsidR="002714A2" w:rsidRPr="00B96F50">
        <w:rPr>
          <w:b/>
          <w:bCs/>
          <w:noProof/>
        </w:rPr>
        <w:t xml:space="preserve"> Minutes</w:t>
      </w:r>
    </w:p>
    <w:p w14:paraId="1378299F" w14:textId="6B3155EC" w:rsidR="00BD5549" w:rsidRPr="00B96F50" w:rsidRDefault="009C74EB" w:rsidP="00BD5549">
      <w:pPr>
        <w:jc w:val="center"/>
        <w:rPr>
          <w:b/>
          <w:bCs/>
          <w:noProof/>
        </w:rPr>
      </w:pPr>
      <w:r w:rsidRPr="00B96F50">
        <w:rPr>
          <w:b/>
          <w:bCs/>
          <w:noProof/>
        </w:rPr>
        <w:t>13</w:t>
      </w:r>
      <w:r w:rsidR="00BD5549" w:rsidRPr="00B96F50">
        <w:rPr>
          <w:b/>
          <w:bCs/>
          <w:noProof/>
          <w:vertAlign w:val="superscript"/>
        </w:rPr>
        <w:t>th</w:t>
      </w:r>
      <w:r w:rsidR="00BD5549" w:rsidRPr="00B96F50">
        <w:rPr>
          <w:b/>
          <w:bCs/>
          <w:noProof/>
        </w:rPr>
        <w:t xml:space="preserve"> November 202</w:t>
      </w:r>
      <w:r w:rsidRPr="00B96F50">
        <w:rPr>
          <w:b/>
          <w:bCs/>
          <w:noProof/>
        </w:rPr>
        <w:t>4</w:t>
      </w:r>
    </w:p>
    <w:p w14:paraId="74B31E38" w14:textId="1D9FF337" w:rsidR="00BD5549" w:rsidRPr="00B96F50" w:rsidRDefault="00BD5549" w:rsidP="00F6228C">
      <w:pPr>
        <w:rPr>
          <w:noProof/>
        </w:rPr>
      </w:pPr>
      <w:r w:rsidRPr="00B96F50">
        <w:rPr>
          <w:b/>
          <w:bCs/>
          <w:noProof/>
        </w:rPr>
        <w:t>Attendees</w:t>
      </w:r>
    </w:p>
    <w:p w14:paraId="237FCB65" w14:textId="6198A483" w:rsidR="00BD5549" w:rsidRPr="00B96F50" w:rsidRDefault="00BD5549" w:rsidP="00F6228C">
      <w:pPr>
        <w:rPr>
          <w:noProof/>
        </w:rPr>
      </w:pPr>
      <w:r w:rsidRPr="00B96F50">
        <w:rPr>
          <w:noProof/>
        </w:rPr>
        <w:t xml:space="preserve">MHRA: David Brown, </w:t>
      </w:r>
      <w:r w:rsidR="00D134E6" w:rsidRPr="00B96F50">
        <w:rPr>
          <w:noProof/>
        </w:rPr>
        <w:t>In</w:t>
      </w:r>
      <w:r w:rsidR="006460C9">
        <w:rPr>
          <w:noProof/>
        </w:rPr>
        <w:t>ê</w:t>
      </w:r>
      <w:r w:rsidR="00D134E6" w:rsidRPr="00B96F50">
        <w:rPr>
          <w:noProof/>
        </w:rPr>
        <w:t xml:space="preserve">s Antunes dos Reis, </w:t>
      </w:r>
      <w:r w:rsidRPr="00B96F50">
        <w:rPr>
          <w:noProof/>
        </w:rPr>
        <w:t>Julia Saperia, Khadija Rantell, Maria Peppa</w:t>
      </w:r>
      <w:r w:rsidR="00455196" w:rsidRPr="00B96F50">
        <w:rPr>
          <w:noProof/>
        </w:rPr>
        <w:t>.</w:t>
      </w:r>
    </w:p>
    <w:p w14:paraId="6EC5638B" w14:textId="56EEA7CC" w:rsidR="00455196" w:rsidRPr="00B96F50" w:rsidRDefault="00BD5549" w:rsidP="00455196">
      <w:r w:rsidRPr="00B96F50">
        <w:rPr>
          <w:noProof/>
        </w:rPr>
        <w:t xml:space="preserve">EFSPI: </w:t>
      </w:r>
      <w:r w:rsidR="00455196" w:rsidRPr="00B96F50">
        <w:t>Alessandro Previtali, Anja von Heydebreck, Åsa Hellqvist, Beth Ireland, Christoph Gerlinger, Cornelia-Ursula Kunz, Dan Evans</w:t>
      </w:r>
      <w:r w:rsidR="00D0342E">
        <w:t>,</w:t>
      </w:r>
      <w:r w:rsidR="00455196" w:rsidRPr="00B96F50">
        <w:t xml:space="preserve"> Florian Voss, Fredrik Öhrn, Giuseppe Palermo, Guillemette de la Borderie, Heiko Goette, Jenny Devenport, Julien </w:t>
      </w:r>
      <w:proofErr w:type="spellStart"/>
      <w:r w:rsidR="00455196" w:rsidRPr="00B96F50">
        <w:t>Tanniou</w:t>
      </w:r>
      <w:proofErr w:type="spellEnd"/>
      <w:r w:rsidR="00455196" w:rsidRPr="00B96F50">
        <w:t>, Jürgen Hummel, Karen Smith, Marc Vandemeulebroecke, Mark Whitlock, Mette Krog Josiassen, Michael Cartwright, Natalia Muhlemann, Nicky Best, Pascal Minini, Philip Hougaard, Rima Izem, Thomas Schmelter, Tiina Hakonen, Tobias Mielke, Yolanda Barbachano.</w:t>
      </w:r>
    </w:p>
    <w:tbl>
      <w:tblPr>
        <w:tblStyle w:val="TableGrid"/>
        <w:tblW w:w="0" w:type="auto"/>
        <w:tblLook w:val="04A0" w:firstRow="1" w:lastRow="0" w:firstColumn="1" w:lastColumn="0" w:noHBand="0" w:noVBand="1"/>
      </w:tblPr>
      <w:tblGrid>
        <w:gridCol w:w="1851"/>
        <w:gridCol w:w="7211"/>
      </w:tblGrid>
      <w:tr w:rsidR="00F6228C" w:rsidRPr="00B96F50" w14:paraId="441B6605" w14:textId="77777777" w:rsidTr="4B5A7C9D">
        <w:tc>
          <w:tcPr>
            <w:tcW w:w="1851" w:type="dxa"/>
          </w:tcPr>
          <w:p w14:paraId="441B6603" w14:textId="77777777" w:rsidR="00F6228C" w:rsidRPr="00B96F50" w:rsidRDefault="00FE336A" w:rsidP="00F46C11">
            <w:pPr>
              <w:rPr>
                <w:b/>
              </w:rPr>
            </w:pPr>
            <w:r w:rsidRPr="00B96F50">
              <w:rPr>
                <w:b/>
              </w:rPr>
              <w:t>T</w:t>
            </w:r>
            <w:r w:rsidR="00F6228C" w:rsidRPr="00B96F50">
              <w:rPr>
                <w:b/>
              </w:rPr>
              <w:t>opic</w:t>
            </w:r>
          </w:p>
        </w:tc>
        <w:tc>
          <w:tcPr>
            <w:tcW w:w="7211" w:type="dxa"/>
          </w:tcPr>
          <w:p w14:paraId="441B6604" w14:textId="554E8F0A" w:rsidR="00F6228C" w:rsidRPr="00B96F50" w:rsidRDefault="00F6228C" w:rsidP="00F46C11">
            <w:pPr>
              <w:rPr>
                <w:b/>
              </w:rPr>
            </w:pPr>
            <w:r w:rsidRPr="00B96F50">
              <w:rPr>
                <w:b/>
                <w:i/>
                <w:iCs/>
              </w:rPr>
              <w:t>Question</w:t>
            </w:r>
            <w:r w:rsidR="009E7570" w:rsidRPr="00B96F50">
              <w:rPr>
                <w:b/>
                <w:i/>
                <w:iCs/>
              </w:rPr>
              <w:t>s</w:t>
            </w:r>
            <w:r w:rsidR="009E7570" w:rsidRPr="00B96F50">
              <w:rPr>
                <w:b/>
              </w:rPr>
              <w:t xml:space="preserve"> and Notes</w:t>
            </w:r>
          </w:p>
        </w:tc>
      </w:tr>
      <w:tr w:rsidR="009E7570" w:rsidRPr="00B96F50" w14:paraId="3F7A1910" w14:textId="77777777" w:rsidTr="4B5A7C9D">
        <w:tc>
          <w:tcPr>
            <w:tcW w:w="1851" w:type="dxa"/>
          </w:tcPr>
          <w:p w14:paraId="213E6512" w14:textId="5A5C07AC" w:rsidR="009E7570" w:rsidRPr="00B96F50" w:rsidRDefault="009E7570" w:rsidP="0063433D">
            <w:pPr>
              <w:rPr>
                <w:rFonts w:ascii="Calibri" w:hAnsi="Calibri"/>
                <w:b/>
                <w:bCs/>
              </w:rPr>
            </w:pPr>
            <w:r w:rsidRPr="00B96F50">
              <w:rPr>
                <w:rFonts w:ascii="Calibri" w:hAnsi="Calibri"/>
                <w:b/>
                <w:bCs/>
              </w:rPr>
              <w:t>Opening</w:t>
            </w:r>
          </w:p>
        </w:tc>
        <w:tc>
          <w:tcPr>
            <w:tcW w:w="7211" w:type="dxa"/>
          </w:tcPr>
          <w:p w14:paraId="71A85F4E" w14:textId="532CEC6E" w:rsidR="009E7570" w:rsidRPr="00B96F50" w:rsidRDefault="009E7570" w:rsidP="009A7BF1">
            <w:r w:rsidRPr="00B96F50">
              <w:t>The meeting opened with the introduction (name, company and location) of the attendees from both MHRA and EFSPI</w:t>
            </w:r>
            <w:r w:rsidR="00F15DA8">
              <w:t>.</w:t>
            </w:r>
          </w:p>
          <w:p w14:paraId="092A6B56" w14:textId="77777777" w:rsidR="00BC2EA1" w:rsidRPr="00B96F50" w:rsidRDefault="00BC2EA1" w:rsidP="009A7BF1"/>
          <w:p w14:paraId="3A336271" w14:textId="7C8F80EF" w:rsidR="00B717E5" w:rsidRPr="00B96F50" w:rsidRDefault="00D0342E" w:rsidP="009A7BF1">
            <w:pPr>
              <w:rPr>
                <w:rFonts w:ascii="Calibri" w:hAnsi="Calibri"/>
              </w:rPr>
            </w:pPr>
            <w:r w:rsidRPr="00D0342E">
              <w:rPr>
                <w:rFonts w:ascii="Calibri" w:hAnsi="Calibri"/>
              </w:rPr>
              <w:t xml:space="preserve">MHRA Team </w:t>
            </w:r>
            <w:r w:rsidR="00B717E5" w:rsidRPr="00B96F50">
              <w:rPr>
                <w:rFonts w:ascii="Calibri" w:hAnsi="Calibri"/>
              </w:rPr>
              <w:t>outlined the expectations for the discussion, noting that while they have received extensive details and references, they could not go into the level of details that EFSPI may have anticipated. Instead, they will provide a broader overview. However, if individuals or groups have specific, detailed proposals, there remains an option to request a broad scope advice meeting with MHRA.</w:t>
            </w:r>
          </w:p>
          <w:p w14:paraId="6C89C19A" w14:textId="77777777" w:rsidR="00AF338E" w:rsidRPr="00B96F50" w:rsidRDefault="00AF338E" w:rsidP="009A7BF1">
            <w:pPr>
              <w:rPr>
                <w:rFonts w:ascii="Calibri" w:hAnsi="Calibri"/>
              </w:rPr>
            </w:pPr>
          </w:p>
          <w:p w14:paraId="71B81E94" w14:textId="3E344C96" w:rsidR="00AF338E" w:rsidRPr="00B96F50" w:rsidRDefault="00D0342E" w:rsidP="009A7BF1">
            <w:pPr>
              <w:rPr>
                <w:rFonts w:ascii="Calibri" w:hAnsi="Calibri"/>
              </w:rPr>
            </w:pPr>
            <w:r>
              <w:rPr>
                <w:rFonts w:ascii="Calibri" w:hAnsi="Calibri"/>
              </w:rPr>
              <w:t>EFSPI</w:t>
            </w:r>
            <w:r w:rsidR="00AF338E" w:rsidRPr="00B96F50">
              <w:rPr>
                <w:rFonts w:ascii="Calibri" w:hAnsi="Calibri"/>
              </w:rPr>
              <w:t xml:space="preserve"> agreed, noting that this is an informal exchange. Detailed information is not expected; the objective is more to gain a general understanding of these topics.</w:t>
            </w:r>
          </w:p>
        </w:tc>
      </w:tr>
      <w:tr w:rsidR="00B83EEE" w:rsidRPr="00B96F50" w14:paraId="75B777E3" w14:textId="77777777" w:rsidTr="4B5A7C9D">
        <w:tc>
          <w:tcPr>
            <w:tcW w:w="1851" w:type="dxa"/>
          </w:tcPr>
          <w:p w14:paraId="62FB06A0" w14:textId="2E0BECC8" w:rsidR="00B83EEE" w:rsidRPr="00B96F50" w:rsidRDefault="00B83EEE" w:rsidP="0063433D">
            <w:pPr>
              <w:rPr>
                <w:rFonts w:ascii="Calibri" w:hAnsi="Calibri"/>
                <w:b/>
                <w:bCs/>
              </w:rPr>
            </w:pPr>
            <w:r w:rsidRPr="00B96F50">
              <w:rPr>
                <w:rFonts w:ascii="Calibri" w:hAnsi="Calibri"/>
                <w:b/>
                <w:bCs/>
              </w:rPr>
              <w:t>Foll</w:t>
            </w:r>
            <w:r w:rsidR="003D7DA4" w:rsidRPr="00B96F50">
              <w:rPr>
                <w:rFonts w:ascii="Calibri" w:hAnsi="Calibri"/>
                <w:b/>
                <w:bCs/>
              </w:rPr>
              <w:t>ow up from last meeting</w:t>
            </w:r>
          </w:p>
        </w:tc>
        <w:tc>
          <w:tcPr>
            <w:tcW w:w="7211" w:type="dxa"/>
          </w:tcPr>
          <w:p w14:paraId="2B26220F" w14:textId="77777777" w:rsidR="009C74EB" w:rsidRPr="00B96F50" w:rsidRDefault="009C74EB" w:rsidP="009C74EB">
            <w:pPr>
              <w:rPr>
                <w:rFonts w:ascii="Calibri" w:hAnsi="Calibri"/>
                <w:i/>
                <w:iCs/>
              </w:rPr>
            </w:pPr>
            <w:r w:rsidRPr="00B96F50">
              <w:rPr>
                <w:rFonts w:ascii="Calibri" w:hAnsi="Calibri"/>
                <w:i/>
                <w:iCs/>
              </w:rPr>
              <w:t>Is there any follow up on any items discussed at the last meeting (8 November 2023) not covered elsewhere?</w:t>
            </w:r>
          </w:p>
          <w:p w14:paraId="32BED6B2" w14:textId="77777777" w:rsidR="00B06B59" w:rsidRPr="00B96F50" w:rsidRDefault="00B06B59" w:rsidP="009A7BF1">
            <w:pPr>
              <w:rPr>
                <w:rFonts w:ascii="Calibri" w:hAnsi="Calibri"/>
                <w:i/>
                <w:iCs/>
              </w:rPr>
            </w:pPr>
          </w:p>
          <w:p w14:paraId="2D181F4A" w14:textId="5781FB0F" w:rsidR="00EF4F57" w:rsidRPr="00B96F50" w:rsidRDefault="00157A26" w:rsidP="00DA4C31">
            <w:pPr>
              <w:rPr>
                <w:rFonts w:ascii="Calibri" w:hAnsi="Calibri"/>
                <w:b/>
                <w:bCs/>
              </w:rPr>
            </w:pPr>
            <w:r w:rsidRPr="00B96F50">
              <w:rPr>
                <w:rFonts w:ascii="Calibri" w:hAnsi="Calibri"/>
                <w:b/>
                <w:bCs/>
              </w:rPr>
              <w:t>Estimands</w:t>
            </w:r>
          </w:p>
          <w:p w14:paraId="3D74D331" w14:textId="0AF8FB1E" w:rsidR="00250100" w:rsidRPr="00B96F50" w:rsidRDefault="00D0342E" w:rsidP="00DA4C31">
            <w:pPr>
              <w:rPr>
                <w:rFonts w:ascii="Calibri" w:hAnsi="Calibri"/>
              </w:rPr>
            </w:pPr>
            <w:r>
              <w:rPr>
                <w:rFonts w:ascii="Calibri" w:hAnsi="Calibri"/>
              </w:rPr>
              <w:t>MHRA Team</w:t>
            </w:r>
            <w:r w:rsidRPr="00B96F50">
              <w:rPr>
                <w:rFonts w:ascii="Calibri" w:hAnsi="Calibri"/>
              </w:rPr>
              <w:t xml:space="preserve"> </w:t>
            </w:r>
            <w:r w:rsidR="00250100" w:rsidRPr="00B96F50">
              <w:rPr>
                <w:rFonts w:ascii="Calibri" w:hAnsi="Calibri"/>
              </w:rPr>
              <w:t>mentioned observing an increasing adoption of the estimands framework in scientific advice and marketing author</w:t>
            </w:r>
            <w:r w:rsidR="00A13C48" w:rsidRPr="00B96F50">
              <w:rPr>
                <w:rFonts w:ascii="Calibri" w:hAnsi="Calibri"/>
              </w:rPr>
              <w:t>is</w:t>
            </w:r>
            <w:r w:rsidR="00250100" w:rsidRPr="00B96F50">
              <w:rPr>
                <w:rFonts w:ascii="Calibri" w:hAnsi="Calibri"/>
              </w:rPr>
              <w:t>ation applications, applicable across both early and late-phase trials in various settings</w:t>
            </w:r>
            <w:r w:rsidR="2E3D9BBD" w:rsidRPr="6CB340C9">
              <w:rPr>
                <w:rFonts w:ascii="Calibri" w:hAnsi="Calibri"/>
              </w:rPr>
              <w:t>, as well as clinical investigation for devices</w:t>
            </w:r>
            <w:r w:rsidR="00250100" w:rsidRPr="6CB340C9">
              <w:rPr>
                <w:rFonts w:ascii="Calibri" w:hAnsi="Calibri"/>
              </w:rPr>
              <w:t>.</w:t>
            </w:r>
            <w:r w:rsidR="00250100" w:rsidRPr="00B96F50">
              <w:rPr>
                <w:rFonts w:ascii="Calibri" w:hAnsi="Calibri"/>
              </w:rPr>
              <w:t xml:space="preserve"> MHRA has incorporated the framework into its </w:t>
            </w:r>
            <w:r w:rsidR="6AB10AFF" w:rsidRPr="6CB340C9">
              <w:rPr>
                <w:rFonts w:ascii="Calibri" w:hAnsi="Calibri"/>
              </w:rPr>
              <w:t xml:space="preserve">clinical </w:t>
            </w:r>
            <w:r w:rsidR="00250100" w:rsidRPr="00B96F50">
              <w:rPr>
                <w:rFonts w:ascii="Calibri" w:hAnsi="Calibri"/>
              </w:rPr>
              <w:t>assessment report</w:t>
            </w:r>
            <w:r w:rsidR="2EA450A7" w:rsidRPr="6CB340C9">
              <w:rPr>
                <w:rFonts w:ascii="Calibri" w:hAnsi="Calibri"/>
              </w:rPr>
              <w:t xml:space="preserve"> template.  They also observed </w:t>
            </w:r>
            <w:r w:rsidR="28C8D971" w:rsidRPr="6CB340C9">
              <w:rPr>
                <w:rFonts w:ascii="Calibri" w:hAnsi="Calibri"/>
              </w:rPr>
              <w:t>remaining challenges</w:t>
            </w:r>
            <w:r w:rsidR="2EA450A7" w:rsidRPr="6CB340C9">
              <w:rPr>
                <w:rFonts w:ascii="Calibri" w:hAnsi="Calibri"/>
              </w:rPr>
              <w:t xml:space="preserve"> with</w:t>
            </w:r>
            <w:r w:rsidR="438A18A5" w:rsidRPr="6CB340C9">
              <w:rPr>
                <w:rFonts w:ascii="Calibri" w:hAnsi="Calibri"/>
              </w:rPr>
              <w:t xml:space="preserve"> the</w:t>
            </w:r>
            <w:r w:rsidR="2EA450A7" w:rsidRPr="6CB340C9">
              <w:rPr>
                <w:rFonts w:ascii="Calibri" w:hAnsi="Calibri"/>
              </w:rPr>
              <w:t xml:space="preserve"> </w:t>
            </w:r>
            <w:r w:rsidR="48189173" w:rsidRPr="6CB340C9">
              <w:rPr>
                <w:rFonts w:ascii="Calibri" w:hAnsi="Calibri"/>
              </w:rPr>
              <w:t xml:space="preserve">application of estimands </w:t>
            </w:r>
            <w:proofErr w:type="gramStart"/>
            <w:r w:rsidR="48189173" w:rsidRPr="6CB340C9">
              <w:rPr>
                <w:rFonts w:ascii="Calibri" w:hAnsi="Calibri"/>
              </w:rPr>
              <w:t>in particular the</w:t>
            </w:r>
            <w:proofErr w:type="gramEnd"/>
            <w:r w:rsidR="48189173" w:rsidRPr="6CB340C9">
              <w:rPr>
                <w:rFonts w:ascii="Calibri" w:hAnsi="Calibri"/>
              </w:rPr>
              <w:t xml:space="preserve"> identification of intercurrent events and</w:t>
            </w:r>
            <w:r w:rsidR="7A82FA58" w:rsidRPr="6CB340C9">
              <w:rPr>
                <w:rFonts w:ascii="Calibri" w:hAnsi="Calibri"/>
              </w:rPr>
              <w:t xml:space="preserve"> description of</w:t>
            </w:r>
            <w:r w:rsidR="48189173" w:rsidRPr="6CB340C9">
              <w:rPr>
                <w:rFonts w:ascii="Calibri" w:hAnsi="Calibri"/>
              </w:rPr>
              <w:t xml:space="preserve"> their handling strategies</w:t>
            </w:r>
            <w:r w:rsidR="70760516" w:rsidRPr="6CB340C9">
              <w:rPr>
                <w:rFonts w:ascii="Calibri" w:hAnsi="Calibri"/>
              </w:rPr>
              <w:t xml:space="preserve">, which are </w:t>
            </w:r>
            <w:r w:rsidR="007B6201">
              <w:rPr>
                <w:rFonts w:ascii="Calibri" w:hAnsi="Calibri"/>
              </w:rPr>
              <w:t>sometimes</w:t>
            </w:r>
            <w:r w:rsidR="70760516" w:rsidRPr="6CB340C9">
              <w:rPr>
                <w:rFonts w:ascii="Calibri" w:hAnsi="Calibri"/>
              </w:rPr>
              <w:t xml:space="preserve"> misunderstood or misaligned with the method of the estimation and study objective</w:t>
            </w:r>
            <w:r w:rsidR="00250100" w:rsidRPr="00B96F50">
              <w:rPr>
                <w:rFonts w:ascii="Calibri" w:hAnsi="Calibri"/>
              </w:rPr>
              <w:t>. Common questions arise around</w:t>
            </w:r>
            <w:r w:rsidR="00250100" w:rsidRPr="6CB340C9">
              <w:rPr>
                <w:rFonts w:ascii="Calibri" w:hAnsi="Calibri"/>
              </w:rPr>
              <w:t xml:space="preserve"> </w:t>
            </w:r>
            <w:r w:rsidR="007B6201">
              <w:rPr>
                <w:rFonts w:ascii="Calibri" w:hAnsi="Calibri"/>
              </w:rPr>
              <w:t>identifying</w:t>
            </w:r>
            <w:r w:rsidR="37A08E46" w:rsidRPr="6CB340C9">
              <w:rPr>
                <w:rFonts w:ascii="Calibri" w:hAnsi="Calibri"/>
              </w:rPr>
              <w:t xml:space="preserve"> and</w:t>
            </w:r>
            <w:r w:rsidR="00250100" w:rsidRPr="00B96F50">
              <w:rPr>
                <w:rFonts w:ascii="Calibri" w:hAnsi="Calibri"/>
              </w:rPr>
              <w:t xml:space="preserve"> defining intercurrent events and evaluating the appropriateness of different strategies to address them. Misinterpretations of strategies outlined in the addendum, such as the </w:t>
            </w:r>
            <w:r w:rsidR="00F0429C">
              <w:rPr>
                <w:rFonts w:ascii="Calibri" w:hAnsi="Calibri"/>
              </w:rPr>
              <w:t>“</w:t>
            </w:r>
            <w:r w:rsidR="00250100" w:rsidRPr="00B96F50">
              <w:rPr>
                <w:rFonts w:ascii="Calibri" w:hAnsi="Calibri"/>
              </w:rPr>
              <w:t>while-on-treatment</w:t>
            </w:r>
            <w:r w:rsidR="00F0429C">
              <w:rPr>
                <w:rFonts w:ascii="Calibri" w:hAnsi="Calibri"/>
              </w:rPr>
              <w:t>”</w:t>
            </w:r>
            <w:r w:rsidR="00250100" w:rsidRPr="00B96F50">
              <w:rPr>
                <w:rFonts w:ascii="Calibri" w:hAnsi="Calibri"/>
              </w:rPr>
              <w:t xml:space="preserve"> and </w:t>
            </w:r>
            <w:r w:rsidR="00F0429C">
              <w:rPr>
                <w:rFonts w:ascii="Calibri" w:hAnsi="Calibri"/>
              </w:rPr>
              <w:t>“</w:t>
            </w:r>
            <w:r w:rsidR="00250100" w:rsidRPr="00B96F50">
              <w:rPr>
                <w:rFonts w:ascii="Calibri" w:hAnsi="Calibri"/>
              </w:rPr>
              <w:t>principal stratum</w:t>
            </w:r>
            <w:r w:rsidR="00F0429C">
              <w:rPr>
                <w:rFonts w:ascii="Calibri" w:hAnsi="Calibri"/>
              </w:rPr>
              <w:t>”</w:t>
            </w:r>
            <w:r w:rsidR="00250100" w:rsidRPr="00B96F50">
              <w:rPr>
                <w:rFonts w:ascii="Calibri" w:hAnsi="Calibri"/>
              </w:rPr>
              <w:t xml:space="preserve"> strategies, are noted, with these often misunderstood and incorrectly applied. </w:t>
            </w:r>
            <w:r w:rsidR="002C3A65">
              <w:rPr>
                <w:rFonts w:ascii="Calibri" w:hAnsi="Calibri"/>
              </w:rPr>
              <w:t>Occasionally, t</w:t>
            </w:r>
            <w:r w:rsidR="00250100" w:rsidRPr="00B96F50">
              <w:rPr>
                <w:rFonts w:ascii="Calibri" w:hAnsi="Calibri"/>
              </w:rPr>
              <w:t>here is also an observed disconnect between analysis methods and the intended estimand strategies</w:t>
            </w:r>
            <w:r w:rsidR="00342627">
              <w:rPr>
                <w:rFonts w:ascii="Calibri" w:hAnsi="Calibri"/>
              </w:rPr>
              <w:t>. The</w:t>
            </w:r>
            <w:r w:rsidR="00250100" w:rsidRPr="00B96F50">
              <w:rPr>
                <w:rFonts w:ascii="Calibri" w:hAnsi="Calibri"/>
              </w:rPr>
              <w:t xml:space="preserve"> accurate translation of study objectives into estimands continues to be difficult. Additionally, estimand reporting is still primarily located within the statistical section of reports.</w:t>
            </w:r>
          </w:p>
          <w:p w14:paraId="72B3FB12" w14:textId="77777777" w:rsidR="00250100" w:rsidRPr="00B96F50" w:rsidRDefault="00250100" w:rsidP="00DA4C31">
            <w:pPr>
              <w:rPr>
                <w:rFonts w:ascii="Calibri" w:hAnsi="Calibri"/>
              </w:rPr>
            </w:pPr>
          </w:p>
          <w:p w14:paraId="2125E2A0" w14:textId="457ECDED" w:rsidR="00037781" w:rsidRPr="00B96F50" w:rsidRDefault="00D0342E" w:rsidP="00DA4C31">
            <w:pPr>
              <w:rPr>
                <w:rFonts w:ascii="Calibri" w:hAnsi="Calibri"/>
              </w:rPr>
            </w:pPr>
            <w:r>
              <w:rPr>
                <w:rFonts w:ascii="Calibri" w:hAnsi="Calibri"/>
              </w:rPr>
              <w:t>MHRA Team</w:t>
            </w:r>
            <w:r w:rsidR="00037781" w:rsidRPr="00B96F50">
              <w:rPr>
                <w:rFonts w:ascii="Calibri" w:hAnsi="Calibri"/>
              </w:rPr>
              <w:t xml:space="preserve"> noted that the estimands framework has </w:t>
            </w:r>
            <w:r w:rsidR="00AB5C80" w:rsidRPr="00B96F50">
              <w:rPr>
                <w:rFonts w:ascii="Calibri" w:hAnsi="Calibri"/>
              </w:rPr>
              <w:t xml:space="preserve">increased transparency and clarity (e.g. </w:t>
            </w:r>
            <w:r w:rsidR="00150213" w:rsidRPr="00B96F50">
              <w:rPr>
                <w:rFonts w:ascii="Calibri" w:hAnsi="Calibri"/>
              </w:rPr>
              <w:t>thoughts on how to handle discontinuations)</w:t>
            </w:r>
            <w:r w:rsidR="00037781" w:rsidRPr="00B96F50">
              <w:rPr>
                <w:rFonts w:ascii="Calibri" w:hAnsi="Calibri"/>
              </w:rPr>
              <w:t xml:space="preserve">, enhancing the </w:t>
            </w:r>
            <w:r w:rsidR="00037781" w:rsidRPr="00B96F50">
              <w:rPr>
                <w:rFonts w:ascii="Calibri" w:hAnsi="Calibri"/>
              </w:rPr>
              <w:lastRenderedPageBreak/>
              <w:t xml:space="preserve">assessment process overall. However, in some instances, it has led to confusion. </w:t>
            </w:r>
            <w:r>
              <w:rPr>
                <w:rFonts w:ascii="Calibri" w:hAnsi="Calibri"/>
              </w:rPr>
              <w:t>MHRA Team</w:t>
            </w:r>
            <w:r w:rsidR="00037781" w:rsidRPr="00B96F50">
              <w:rPr>
                <w:rFonts w:ascii="Calibri" w:hAnsi="Calibri"/>
              </w:rPr>
              <w:t xml:space="preserve"> cited a recent example in oncology time-to-event analysis, where different types of </w:t>
            </w:r>
            <w:r w:rsidR="00D269DE">
              <w:rPr>
                <w:rFonts w:ascii="Calibri" w:hAnsi="Calibri"/>
              </w:rPr>
              <w:t>intercurrent events</w:t>
            </w:r>
            <w:r w:rsidR="00037781" w:rsidRPr="00B96F50">
              <w:rPr>
                <w:rFonts w:ascii="Calibri" w:hAnsi="Calibri"/>
              </w:rPr>
              <w:t xml:space="preserve"> were listed </w:t>
            </w:r>
            <w:r w:rsidR="00766D93">
              <w:rPr>
                <w:rFonts w:ascii="Calibri" w:hAnsi="Calibri"/>
              </w:rPr>
              <w:t xml:space="preserve">in the study report and protocol </w:t>
            </w:r>
            <w:r w:rsidR="00037781" w:rsidRPr="00B96F50">
              <w:rPr>
                <w:rFonts w:ascii="Calibri" w:hAnsi="Calibri"/>
              </w:rPr>
              <w:t>with corresponding estimand strateg</w:t>
            </w:r>
            <w:r w:rsidR="00B973C2">
              <w:rPr>
                <w:rFonts w:ascii="Calibri" w:hAnsi="Calibri"/>
              </w:rPr>
              <w:t xml:space="preserve">y titles (e.g. treatment policy, </w:t>
            </w:r>
            <w:r w:rsidR="009F68C2">
              <w:rPr>
                <w:rFonts w:ascii="Calibri" w:hAnsi="Calibri"/>
              </w:rPr>
              <w:t>hypothetical</w:t>
            </w:r>
            <w:r w:rsidR="00B973C2">
              <w:rPr>
                <w:rFonts w:ascii="Calibri" w:hAnsi="Calibri"/>
              </w:rPr>
              <w:t>)</w:t>
            </w:r>
            <w:r w:rsidR="00037781" w:rsidRPr="00B96F50">
              <w:rPr>
                <w:rFonts w:ascii="Calibri" w:hAnsi="Calibri"/>
              </w:rPr>
              <w:t>,</w:t>
            </w:r>
            <w:r w:rsidR="00FC5942">
              <w:rPr>
                <w:rFonts w:ascii="Calibri" w:hAnsi="Calibri"/>
              </w:rPr>
              <w:t xml:space="preserve"> </w:t>
            </w:r>
            <w:r w:rsidR="00DD4A8B">
              <w:rPr>
                <w:rFonts w:ascii="Calibri" w:hAnsi="Calibri"/>
              </w:rPr>
              <w:t>but</w:t>
            </w:r>
            <w:r w:rsidR="00037781" w:rsidRPr="00B96F50">
              <w:rPr>
                <w:rFonts w:ascii="Calibri" w:hAnsi="Calibri"/>
              </w:rPr>
              <w:t xml:space="preserve"> without </w:t>
            </w:r>
            <w:r w:rsidR="00755EA7">
              <w:rPr>
                <w:rFonts w:ascii="Calibri" w:hAnsi="Calibri"/>
              </w:rPr>
              <w:t xml:space="preserve">an explanation of what specifically had been done. </w:t>
            </w:r>
            <w:r>
              <w:rPr>
                <w:rFonts w:ascii="Calibri" w:hAnsi="Calibri"/>
              </w:rPr>
              <w:t>MHRA Team</w:t>
            </w:r>
            <w:r w:rsidR="00037781" w:rsidRPr="00B96F50">
              <w:rPr>
                <w:rFonts w:ascii="Calibri" w:hAnsi="Calibri"/>
              </w:rPr>
              <w:t xml:space="preserve"> emphasi</w:t>
            </w:r>
            <w:r w:rsidR="00665F18" w:rsidRPr="00B96F50">
              <w:rPr>
                <w:rFonts w:ascii="Calibri" w:hAnsi="Calibri"/>
              </w:rPr>
              <w:t>s</w:t>
            </w:r>
            <w:r w:rsidR="00037781" w:rsidRPr="00B96F50">
              <w:rPr>
                <w:rFonts w:ascii="Calibri" w:hAnsi="Calibri"/>
              </w:rPr>
              <w:t xml:space="preserve">ed that </w:t>
            </w:r>
            <w:r w:rsidR="00CF21BC">
              <w:rPr>
                <w:rFonts w:ascii="Calibri" w:hAnsi="Calibri"/>
              </w:rPr>
              <w:t>strategy titles</w:t>
            </w:r>
            <w:r w:rsidR="00037781" w:rsidRPr="00B96F50">
              <w:rPr>
                <w:rFonts w:ascii="Calibri" w:hAnsi="Calibri"/>
              </w:rPr>
              <w:t xml:space="preserve"> should not be treated as fixed terminologies but rather as conceptual tools to clarify intended approaches. </w:t>
            </w:r>
            <w:r w:rsidR="0043070D">
              <w:rPr>
                <w:rFonts w:ascii="Calibri" w:hAnsi="Calibri"/>
              </w:rPr>
              <w:t>MHRA Team</w:t>
            </w:r>
            <w:r w:rsidR="0043070D" w:rsidRPr="00B96F50">
              <w:rPr>
                <w:rFonts w:ascii="Calibri" w:hAnsi="Calibri"/>
              </w:rPr>
              <w:t xml:space="preserve"> </w:t>
            </w:r>
            <w:r w:rsidR="00037781" w:rsidRPr="00B96F50">
              <w:rPr>
                <w:rFonts w:ascii="Calibri" w:hAnsi="Calibri"/>
              </w:rPr>
              <w:t>stressed the importance of fully describing each strategy, as simply naming a strategy is insufficient for clarity.</w:t>
            </w:r>
          </w:p>
          <w:p w14:paraId="03D28436" w14:textId="77777777" w:rsidR="005E5174" w:rsidRPr="00B96F50" w:rsidRDefault="005E5174" w:rsidP="00DA4C31">
            <w:pPr>
              <w:rPr>
                <w:rFonts w:ascii="Calibri" w:hAnsi="Calibri"/>
              </w:rPr>
            </w:pPr>
          </w:p>
          <w:p w14:paraId="64ED5F05" w14:textId="3D754B26" w:rsidR="00A86E9C" w:rsidRPr="00B96F50" w:rsidRDefault="00D0342E" w:rsidP="00DA4C31">
            <w:pPr>
              <w:rPr>
                <w:rFonts w:ascii="Calibri" w:hAnsi="Calibri"/>
              </w:rPr>
            </w:pPr>
            <w:r>
              <w:rPr>
                <w:rFonts w:ascii="Calibri" w:hAnsi="Calibri"/>
              </w:rPr>
              <w:t>EFSPI</w:t>
            </w:r>
            <w:r w:rsidR="00A86E9C" w:rsidRPr="00B96F50">
              <w:rPr>
                <w:rFonts w:ascii="Calibri" w:hAnsi="Calibri"/>
              </w:rPr>
              <w:t xml:space="preserve"> had a comment regarding the common misunderstandings of certain strategies, such as the </w:t>
            </w:r>
            <w:r w:rsidR="006B757C">
              <w:rPr>
                <w:rFonts w:ascii="Calibri" w:hAnsi="Calibri"/>
              </w:rPr>
              <w:t>“</w:t>
            </w:r>
            <w:r w:rsidR="00A86E9C" w:rsidRPr="00B96F50">
              <w:rPr>
                <w:rFonts w:ascii="Calibri" w:hAnsi="Calibri"/>
              </w:rPr>
              <w:t>while-on-treatment</w:t>
            </w:r>
            <w:r w:rsidR="006B757C">
              <w:rPr>
                <w:rFonts w:ascii="Calibri" w:hAnsi="Calibri"/>
              </w:rPr>
              <w:t>”</w:t>
            </w:r>
            <w:r w:rsidR="00A86E9C" w:rsidRPr="00B96F50">
              <w:rPr>
                <w:rFonts w:ascii="Calibri" w:hAnsi="Calibri"/>
              </w:rPr>
              <w:t xml:space="preserve"> versus </w:t>
            </w:r>
            <w:r w:rsidR="006B757C">
              <w:rPr>
                <w:rFonts w:ascii="Calibri" w:hAnsi="Calibri"/>
              </w:rPr>
              <w:t>“</w:t>
            </w:r>
            <w:r w:rsidR="00A86E9C" w:rsidRPr="00B96F50">
              <w:rPr>
                <w:rFonts w:ascii="Calibri" w:hAnsi="Calibri"/>
              </w:rPr>
              <w:t>hypothetical</w:t>
            </w:r>
            <w:r w:rsidR="006B757C">
              <w:rPr>
                <w:rFonts w:ascii="Calibri" w:hAnsi="Calibri"/>
              </w:rPr>
              <w:t>”</w:t>
            </w:r>
            <w:r w:rsidR="00A86E9C" w:rsidRPr="00B96F50">
              <w:rPr>
                <w:rFonts w:ascii="Calibri" w:hAnsi="Calibri"/>
              </w:rPr>
              <w:t xml:space="preserve"> strategies, and asked if a general example could be provided to clarify.</w:t>
            </w:r>
          </w:p>
          <w:p w14:paraId="33F71C14" w14:textId="77777777" w:rsidR="00A86E9C" w:rsidRPr="00B96F50" w:rsidRDefault="00A86E9C" w:rsidP="00DA4C31">
            <w:pPr>
              <w:rPr>
                <w:rFonts w:ascii="Calibri" w:hAnsi="Calibri"/>
              </w:rPr>
            </w:pPr>
          </w:p>
          <w:p w14:paraId="1F2AE58A" w14:textId="2C1F2B8F" w:rsidR="00267885" w:rsidRPr="00B96F50" w:rsidRDefault="00A86E9C" w:rsidP="00267885">
            <w:pPr>
              <w:rPr>
                <w:rFonts w:ascii="Calibri" w:hAnsi="Calibri"/>
              </w:rPr>
            </w:pPr>
            <w:r w:rsidRPr="00B96F50">
              <w:rPr>
                <w:rFonts w:ascii="Calibri" w:hAnsi="Calibri"/>
              </w:rPr>
              <w:t xml:space="preserve">Back to the example mentioned above </w:t>
            </w:r>
            <w:r w:rsidR="008E3796">
              <w:rPr>
                <w:rFonts w:ascii="Calibri" w:hAnsi="Calibri"/>
              </w:rPr>
              <w:t>of</w:t>
            </w:r>
            <w:r w:rsidRPr="00B96F50">
              <w:rPr>
                <w:rFonts w:ascii="Calibri" w:hAnsi="Calibri"/>
              </w:rPr>
              <w:t xml:space="preserve"> censoring at treatment discontinuation</w:t>
            </w:r>
            <w:r w:rsidR="001D6335" w:rsidRPr="00B96F50">
              <w:rPr>
                <w:rFonts w:ascii="Calibri" w:hAnsi="Calibri"/>
              </w:rPr>
              <w:t>,</w:t>
            </w:r>
            <w:r w:rsidRPr="00B96F50">
              <w:rPr>
                <w:rFonts w:ascii="Calibri" w:hAnsi="Calibri"/>
              </w:rPr>
              <w:t xml:space="preserve"> </w:t>
            </w:r>
            <w:r w:rsidR="00D0342E">
              <w:rPr>
                <w:rFonts w:ascii="Calibri" w:hAnsi="Calibri"/>
              </w:rPr>
              <w:t>MHRA Team</w:t>
            </w:r>
            <w:r w:rsidR="00267885" w:rsidRPr="00B96F50">
              <w:rPr>
                <w:rFonts w:ascii="Calibri" w:hAnsi="Calibri"/>
              </w:rPr>
              <w:t xml:space="preserve"> mentioned that when censoring is applied, it assumes the patient would behave similarly to those who continued treatment, even if they have stopped. Although it might seem that censoring aligns with a </w:t>
            </w:r>
            <w:r w:rsidR="006B757C">
              <w:rPr>
                <w:rFonts w:ascii="Calibri" w:hAnsi="Calibri"/>
              </w:rPr>
              <w:t>“</w:t>
            </w:r>
            <w:r w:rsidR="00267885" w:rsidRPr="00B96F50">
              <w:rPr>
                <w:rFonts w:ascii="Calibri" w:hAnsi="Calibri"/>
              </w:rPr>
              <w:t>while-on-treatment</w:t>
            </w:r>
            <w:r w:rsidR="006B757C">
              <w:rPr>
                <w:rFonts w:ascii="Calibri" w:hAnsi="Calibri"/>
              </w:rPr>
              <w:t>”</w:t>
            </w:r>
            <w:r w:rsidR="00267885" w:rsidRPr="00B96F50">
              <w:rPr>
                <w:rFonts w:ascii="Calibri" w:hAnsi="Calibri"/>
              </w:rPr>
              <w:t xml:space="preserve"> strategy, this is not the cas</w:t>
            </w:r>
            <w:r w:rsidR="002E2A1B">
              <w:rPr>
                <w:rFonts w:ascii="Calibri" w:hAnsi="Calibri"/>
              </w:rPr>
              <w:t>e. T</w:t>
            </w:r>
            <w:r w:rsidR="00564AC4">
              <w:rPr>
                <w:rFonts w:ascii="Calibri" w:hAnsi="Calibri"/>
              </w:rPr>
              <w:t xml:space="preserve">his is considered </w:t>
            </w:r>
            <w:r w:rsidR="00E53724">
              <w:rPr>
                <w:rFonts w:ascii="Calibri" w:hAnsi="Calibri"/>
              </w:rPr>
              <w:t xml:space="preserve">instead </w:t>
            </w:r>
            <w:r w:rsidR="00564AC4">
              <w:rPr>
                <w:rFonts w:ascii="Calibri" w:hAnsi="Calibri"/>
              </w:rPr>
              <w:t>to</w:t>
            </w:r>
            <w:r w:rsidR="008E0BF8">
              <w:rPr>
                <w:rFonts w:ascii="Calibri" w:hAnsi="Calibri"/>
              </w:rPr>
              <w:t xml:space="preserve"> fit with the hypothetical strategy</w:t>
            </w:r>
            <w:r w:rsidR="00267885" w:rsidRPr="00B96F50">
              <w:rPr>
                <w:rFonts w:ascii="Calibri" w:hAnsi="Calibri"/>
              </w:rPr>
              <w:t xml:space="preserve">. </w:t>
            </w:r>
            <w:r w:rsidR="00A12F2D" w:rsidRPr="00A12F2D">
              <w:rPr>
                <w:rFonts w:ascii="Calibri" w:hAnsi="Calibri"/>
              </w:rPr>
              <w:t>MHRA Team noted that many companies mistakenly use the “while-on-treatment” strategy terminology when in fact a “hypothetical” approach is being used.</w:t>
            </w:r>
            <w:r w:rsidR="00A12F2D">
              <w:rPr>
                <w:rFonts w:ascii="Calibri" w:hAnsi="Calibri"/>
              </w:rPr>
              <w:t xml:space="preserve"> </w:t>
            </w:r>
            <w:r w:rsidR="00D0342E">
              <w:rPr>
                <w:rFonts w:ascii="Calibri" w:hAnsi="Calibri"/>
              </w:rPr>
              <w:t>MHRA Team</w:t>
            </w:r>
            <w:r w:rsidR="00267885" w:rsidRPr="00B96F50">
              <w:rPr>
                <w:rFonts w:ascii="Calibri" w:hAnsi="Calibri"/>
              </w:rPr>
              <w:t xml:space="preserve"> added that the </w:t>
            </w:r>
            <w:r w:rsidR="006B757C">
              <w:rPr>
                <w:rFonts w:ascii="Calibri" w:hAnsi="Calibri"/>
              </w:rPr>
              <w:t>“</w:t>
            </w:r>
            <w:r w:rsidR="00267885" w:rsidRPr="00B96F50">
              <w:rPr>
                <w:rFonts w:ascii="Calibri" w:hAnsi="Calibri"/>
              </w:rPr>
              <w:t>while-on-treatment</w:t>
            </w:r>
            <w:r w:rsidR="006B757C">
              <w:rPr>
                <w:rFonts w:ascii="Calibri" w:hAnsi="Calibri"/>
              </w:rPr>
              <w:t>”</w:t>
            </w:r>
            <w:r w:rsidR="00267885" w:rsidRPr="00B96F50">
              <w:rPr>
                <w:rFonts w:ascii="Calibri" w:hAnsi="Calibri"/>
              </w:rPr>
              <w:t xml:space="preserve"> strategy generally applies to specific scenarios, particularly when the intercurrent event is not related or a consequence of treatment—such as in palliative care, where </w:t>
            </w:r>
            <w:r w:rsidR="00DB2E26" w:rsidRPr="00B96F50">
              <w:rPr>
                <w:rFonts w:ascii="Calibri" w:hAnsi="Calibri"/>
              </w:rPr>
              <w:t xml:space="preserve">the question of </w:t>
            </w:r>
            <w:r w:rsidR="00267885" w:rsidRPr="00B96F50">
              <w:rPr>
                <w:rFonts w:ascii="Calibri" w:hAnsi="Calibri"/>
              </w:rPr>
              <w:t>interest lies in patient outcomes before they pass away</w:t>
            </w:r>
            <w:r w:rsidR="00E53724">
              <w:rPr>
                <w:rFonts w:ascii="Calibri" w:hAnsi="Calibri"/>
              </w:rPr>
              <w:t>, e.g. control of nausea</w:t>
            </w:r>
            <w:r w:rsidR="008033C9">
              <w:rPr>
                <w:rFonts w:ascii="Calibri" w:hAnsi="Calibri"/>
              </w:rPr>
              <w:t xml:space="preserve"> or pain</w:t>
            </w:r>
            <w:r w:rsidR="00267885" w:rsidRPr="00B96F50">
              <w:rPr>
                <w:rFonts w:ascii="Calibri" w:hAnsi="Calibri"/>
              </w:rPr>
              <w:t xml:space="preserve">. </w:t>
            </w:r>
            <w:r w:rsidR="00533787">
              <w:rPr>
                <w:rFonts w:ascii="Calibri" w:hAnsi="Calibri"/>
              </w:rPr>
              <w:t xml:space="preserve"> The “while-on-treatment” strategy also often implies a change in the nature of the endpoint </w:t>
            </w:r>
            <w:proofErr w:type="gramStart"/>
            <w:r w:rsidR="00533787">
              <w:rPr>
                <w:rFonts w:ascii="Calibri" w:hAnsi="Calibri"/>
              </w:rPr>
              <w:t>in order to</w:t>
            </w:r>
            <w:proofErr w:type="gramEnd"/>
            <w:r w:rsidR="00533787">
              <w:rPr>
                <w:rFonts w:ascii="Calibri" w:hAnsi="Calibri"/>
              </w:rPr>
              <w:t xml:space="preserve"> consider only the</w:t>
            </w:r>
            <w:r w:rsidR="0045049D">
              <w:rPr>
                <w:rFonts w:ascii="Calibri" w:hAnsi="Calibri"/>
              </w:rPr>
              <w:t xml:space="preserve"> data</w:t>
            </w:r>
            <w:r w:rsidR="00533787">
              <w:rPr>
                <w:rFonts w:ascii="Calibri" w:hAnsi="Calibri"/>
              </w:rPr>
              <w:t xml:space="preserve"> up until the moment the intercurrent event occurs. </w:t>
            </w:r>
          </w:p>
          <w:p w14:paraId="2FE7230B" w14:textId="77777777" w:rsidR="0045049D" w:rsidRPr="00B96F50" w:rsidRDefault="0045049D" w:rsidP="00267885">
            <w:pPr>
              <w:rPr>
                <w:rFonts w:ascii="Calibri" w:hAnsi="Calibri"/>
              </w:rPr>
            </w:pPr>
          </w:p>
          <w:p w14:paraId="2F0B6143" w14:textId="33548B60" w:rsidR="00267885" w:rsidRPr="00B96F50" w:rsidRDefault="00D0342E" w:rsidP="00A86E9C">
            <w:pPr>
              <w:rPr>
                <w:rFonts w:ascii="Calibri" w:hAnsi="Calibri"/>
              </w:rPr>
            </w:pPr>
            <w:r>
              <w:rPr>
                <w:rFonts w:ascii="Calibri" w:hAnsi="Calibri"/>
              </w:rPr>
              <w:t>MHRA Team</w:t>
            </w:r>
            <w:r w:rsidR="00267885" w:rsidRPr="00B96F50">
              <w:rPr>
                <w:rFonts w:ascii="Calibri" w:hAnsi="Calibri"/>
              </w:rPr>
              <w:t xml:space="preserve"> further pointed out that some literature in the time-to-event context highlights the importance of selecting appropriate estimators. The choice between </w:t>
            </w:r>
            <w:r w:rsidR="006B757C">
              <w:rPr>
                <w:rFonts w:ascii="Calibri" w:hAnsi="Calibri"/>
              </w:rPr>
              <w:t>“</w:t>
            </w:r>
            <w:r w:rsidR="00267885" w:rsidRPr="00B96F50">
              <w:rPr>
                <w:rFonts w:ascii="Calibri" w:hAnsi="Calibri"/>
              </w:rPr>
              <w:t>hypothetical</w:t>
            </w:r>
            <w:r w:rsidR="006B757C">
              <w:rPr>
                <w:rFonts w:ascii="Calibri" w:hAnsi="Calibri"/>
              </w:rPr>
              <w:t>”</w:t>
            </w:r>
            <w:r w:rsidR="00267885" w:rsidRPr="00B96F50">
              <w:rPr>
                <w:rFonts w:ascii="Calibri" w:hAnsi="Calibri"/>
              </w:rPr>
              <w:t xml:space="preserve"> and </w:t>
            </w:r>
            <w:r w:rsidR="006B757C">
              <w:rPr>
                <w:rFonts w:ascii="Calibri" w:hAnsi="Calibri"/>
              </w:rPr>
              <w:t>“</w:t>
            </w:r>
            <w:r w:rsidR="00267885" w:rsidRPr="00B96F50">
              <w:rPr>
                <w:rFonts w:ascii="Calibri" w:hAnsi="Calibri"/>
              </w:rPr>
              <w:t>while-on-treatment</w:t>
            </w:r>
            <w:r w:rsidR="006B757C">
              <w:rPr>
                <w:rFonts w:ascii="Calibri" w:hAnsi="Calibri"/>
              </w:rPr>
              <w:t>”</w:t>
            </w:r>
            <w:r w:rsidR="00267885" w:rsidRPr="00B96F50">
              <w:rPr>
                <w:rFonts w:ascii="Calibri" w:hAnsi="Calibri"/>
              </w:rPr>
              <w:t xml:space="preserve"> strategies, as well as the estimation method, can vary significantly depending on the target estimand.</w:t>
            </w:r>
            <w:r w:rsidR="00B02E53" w:rsidRPr="00B96F50">
              <w:rPr>
                <w:rFonts w:ascii="Calibri" w:hAnsi="Calibri"/>
              </w:rPr>
              <w:t xml:space="preserve"> </w:t>
            </w:r>
            <w:r>
              <w:rPr>
                <w:rFonts w:ascii="Calibri" w:hAnsi="Calibri"/>
              </w:rPr>
              <w:t>MHRA Team</w:t>
            </w:r>
            <w:r w:rsidR="00B30DF1" w:rsidRPr="00B96F50">
              <w:rPr>
                <w:rFonts w:ascii="Calibri" w:hAnsi="Calibri"/>
              </w:rPr>
              <w:t xml:space="preserve"> acknowledged that work </w:t>
            </w:r>
            <w:r w:rsidR="000F6B14">
              <w:rPr>
                <w:rFonts w:ascii="Calibri" w:hAnsi="Calibri"/>
              </w:rPr>
              <w:t xml:space="preserve">also </w:t>
            </w:r>
            <w:r w:rsidR="00B30DF1" w:rsidRPr="00B96F50">
              <w:rPr>
                <w:rFonts w:ascii="Calibri" w:hAnsi="Calibri"/>
              </w:rPr>
              <w:t xml:space="preserve">still needs to be done on the regulatory </w:t>
            </w:r>
            <w:r w:rsidR="006503CC" w:rsidRPr="00B96F50">
              <w:rPr>
                <w:rFonts w:ascii="Calibri" w:hAnsi="Calibri"/>
              </w:rPr>
              <w:t xml:space="preserve">side. In conclusion, it </w:t>
            </w:r>
            <w:r w:rsidR="004620C8" w:rsidRPr="00B96F50">
              <w:rPr>
                <w:rFonts w:ascii="Calibri" w:hAnsi="Calibri"/>
              </w:rPr>
              <w:t xml:space="preserve">is important to identify </w:t>
            </w:r>
            <w:r w:rsidR="006E4049" w:rsidRPr="00B96F50">
              <w:rPr>
                <w:rFonts w:ascii="Calibri" w:hAnsi="Calibri"/>
              </w:rPr>
              <w:t xml:space="preserve">and clearly describe </w:t>
            </w:r>
            <w:r w:rsidR="004620C8" w:rsidRPr="00B96F50">
              <w:rPr>
                <w:rFonts w:ascii="Calibri" w:hAnsi="Calibri"/>
              </w:rPr>
              <w:t>what is estimated and how</w:t>
            </w:r>
            <w:r w:rsidR="0086405C">
              <w:rPr>
                <w:rFonts w:ascii="Calibri" w:hAnsi="Calibri"/>
              </w:rPr>
              <w:t>.</w:t>
            </w:r>
            <w:r w:rsidR="0086405C">
              <w:t xml:space="preserve"> </w:t>
            </w:r>
            <w:r w:rsidR="0086405C" w:rsidRPr="0086405C">
              <w:rPr>
                <w:rFonts w:ascii="Calibri" w:hAnsi="Calibri"/>
              </w:rPr>
              <w:t xml:space="preserve">If there are clear descriptions of what has been done, a disagreement over the estimand strategy label has less importance </w:t>
            </w:r>
            <w:r w:rsidR="0086405C">
              <w:rPr>
                <w:rFonts w:ascii="Calibri" w:hAnsi="Calibri"/>
              </w:rPr>
              <w:t>so</w:t>
            </w:r>
            <w:r w:rsidR="0086405C" w:rsidRPr="0086405C">
              <w:rPr>
                <w:rFonts w:ascii="Calibri" w:hAnsi="Calibri"/>
              </w:rPr>
              <w:t xml:space="preserve"> long as the approach is agreed</w:t>
            </w:r>
            <w:r w:rsidR="0086405C">
              <w:rPr>
                <w:rFonts w:ascii="Calibri" w:hAnsi="Calibri"/>
              </w:rPr>
              <w:t>.</w:t>
            </w:r>
          </w:p>
          <w:p w14:paraId="243302EE" w14:textId="77777777" w:rsidR="00267885" w:rsidRPr="00B96F50" w:rsidRDefault="00267885" w:rsidP="00A86E9C">
            <w:pPr>
              <w:rPr>
                <w:rFonts w:ascii="Calibri" w:hAnsi="Calibri"/>
              </w:rPr>
            </w:pPr>
          </w:p>
          <w:p w14:paraId="518D43BE" w14:textId="77777777" w:rsidR="00AE4953" w:rsidRPr="00B96F50" w:rsidRDefault="0065705B" w:rsidP="00DA4C31">
            <w:pPr>
              <w:rPr>
                <w:rFonts w:ascii="Calibri" w:hAnsi="Calibri"/>
                <w:b/>
                <w:bCs/>
              </w:rPr>
            </w:pPr>
            <w:r w:rsidRPr="00B96F50">
              <w:rPr>
                <w:rFonts w:ascii="Calibri" w:hAnsi="Calibri"/>
                <w:b/>
                <w:bCs/>
              </w:rPr>
              <w:t>Subgroup analysis</w:t>
            </w:r>
          </w:p>
          <w:p w14:paraId="45019408" w14:textId="632DA325" w:rsidR="0065705B" w:rsidRPr="00B96F50" w:rsidRDefault="00D0342E" w:rsidP="00DA4C31">
            <w:pPr>
              <w:rPr>
                <w:rFonts w:ascii="Calibri" w:hAnsi="Calibri"/>
              </w:rPr>
            </w:pPr>
            <w:r>
              <w:rPr>
                <w:rFonts w:ascii="Calibri" w:hAnsi="Calibri"/>
              </w:rPr>
              <w:t>MHRA Team</w:t>
            </w:r>
            <w:r w:rsidR="00AE4953" w:rsidRPr="00B96F50">
              <w:rPr>
                <w:rFonts w:ascii="Calibri" w:hAnsi="Calibri"/>
              </w:rPr>
              <w:t xml:space="preserve"> noted that there was nothing specific to add over the past year.</w:t>
            </w:r>
          </w:p>
          <w:p w14:paraId="6B34A3EC" w14:textId="77777777" w:rsidR="00AE4953" w:rsidRPr="00B96F50" w:rsidRDefault="00AE4953" w:rsidP="00DA4C31">
            <w:pPr>
              <w:rPr>
                <w:rFonts w:ascii="Calibri" w:hAnsi="Calibri"/>
              </w:rPr>
            </w:pPr>
          </w:p>
          <w:p w14:paraId="02A502B7" w14:textId="77777777" w:rsidR="00AE4953" w:rsidRPr="00B96F50" w:rsidRDefault="0065705B" w:rsidP="00DA4C31">
            <w:pPr>
              <w:rPr>
                <w:rFonts w:ascii="Calibri" w:hAnsi="Calibri"/>
                <w:b/>
                <w:bCs/>
              </w:rPr>
            </w:pPr>
            <w:r w:rsidRPr="00B96F50">
              <w:rPr>
                <w:rFonts w:ascii="Calibri" w:hAnsi="Calibri"/>
                <w:b/>
                <w:bCs/>
              </w:rPr>
              <w:t>Surrogate endpoint</w:t>
            </w:r>
            <w:r w:rsidR="00AE4953" w:rsidRPr="00B96F50">
              <w:rPr>
                <w:rFonts w:ascii="Calibri" w:hAnsi="Calibri"/>
                <w:b/>
                <w:bCs/>
              </w:rPr>
              <w:t>s</w:t>
            </w:r>
          </w:p>
          <w:p w14:paraId="28D10C44" w14:textId="23FE5A28" w:rsidR="0065705B" w:rsidRPr="00B96F50" w:rsidRDefault="00D0342E" w:rsidP="6CB340C9">
            <w:pPr>
              <w:rPr>
                <w:rFonts w:ascii="Calibri" w:hAnsi="Calibri"/>
              </w:rPr>
            </w:pPr>
            <w:r>
              <w:rPr>
                <w:rFonts w:ascii="Calibri" w:hAnsi="Calibri"/>
              </w:rPr>
              <w:t>MHRA Team</w:t>
            </w:r>
            <w:r w:rsidR="008B3130" w:rsidRPr="00B96F50">
              <w:rPr>
                <w:rFonts w:ascii="Calibri" w:hAnsi="Calibri"/>
              </w:rPr>
              <w:t xml:space="preserve"> mentioned that, although no new specific guidance was issued, efforts continued in providing guidelines, discussing and consulting on surrogate endpoints (a link to these resources could be shared with the group), and contributing to consultations on dose-finding studies.</w:t>
            </w:r>
          </w:p>
          <w:p w14:paraId="5E64B237" w14:textId="2E62D714" w:rsidR="0065705B" w:rsidRPr="002F29A2" w:rsidRDefault="0065705B" w:rsidP="6CB340C9">
            <w:pPr>
              <w:rPr>
                <w:rFonts w:ascii="calibri(body)" w:eastAsia="calibri(body)" w:hAnsi="calibri(body)" w:cs="calibri(body)"/>
              </w:rPr>
            </w:pPr>
          </w:p>
          <w:p w14:paraId="4DCEB2B1" w14:textId="35A1CABC" w:rsidR="0065705B" w:rsidRPr="00AF3310" w:rsidRDefault="06E30C4A">
            <w:pPr>
              <w:rPr>
                <w:rStyle w:val="Hyperlink"/>
                <w:rFonts w:ascii="calibri(body)" w:eastAsia="calibri(body)" w:hAnsi="calibri(body)" w:cs="calibri(body)"/>
              </w:rPr>
            </w:pPr>
            <w:r w:rsidRPr="00AF3310">
              <w:rPr>
                <w:rFonts w:ascii="calibri(body)" w:eastAsia="calibri(body)" w:hAnsi="calibri(body)" w:cs="calibri(body)"/>
              </w:rPr>
              <w:t>the Lancet,</w:t>
            </w:r>
            <w:r w:rsidRPr="00AF3310">
              <w:rPr>
                <w:rFonts w:ascii="calibri(body)" w:eastAsia="calibri(body)" w:hAnsi="calibri(body)" w:cs="calibri(body)"/>
                <w:color w:val="000000" w:themeColor="text1"/>
              </w:rPr>
              <w:t xml:space="preserve"> </w:t>
            </w:r>
            <w:hyperlink r:id="rId8" w:history="1">
              <w:r w:rsidRPr="6CB340C9">
                <w:rPr>
                  <w:rStyle w:val="Hyperlink"/>
                  <w:rFonts w:ascii="Aptos" w:eastAsia="Aptos" w:hAnsi="Aptos" w:cs="Aptos"/>
                  <w:sz w:val="24"/>
                  <w:szCs w:val="24"/>
                </w:rPr>
                <w:t>https://doi.org/10.1016/s0140-6736(24)01306-0</w:t>
              </w:r>
            </w:hyperlink>
            <w:r w:rsidRPr="00AF3310">
              <w:rPr>
                <w:rFonts w:ascii="calibri(body)" w:eastAsia="calibri(body)" w:hAnsi="calibri(body)" w:cs="calibri(body)"/>
                <w:color w:val="000000" w:themeColor="text1"/>
              </w:rPr>
              <w:t xml:space="preserve"> and an editorial in JAMA, </w:t>
            </w:r>
            <w:hyperlink r:id="rId9" w:history="1">
              <w:r w:rsidRPr="6CB340C9">
                <w:rPr>
                  <w:rStyle w:val="Hyperlink"/>
                  <w:rFonts w:ascii="Aptos" w:eastAsia="Aptos" w:hAnsi="Aptos" w:cs="Aptos"/>
                  <w:sz w:val="24"/>
                  <w:szCs w:val="24"/>
                </w:rPr>
                <w:t>https://doi.org/10.1001/jama.2024.15219</w:t>
              </w:r>
            </w:hyperlink>
          </w:p>
          <w:p w14:paraId="2DC82D63" w14:textId="14E739BC" w:rsidR="0065705B" w:rsidRPr="00B96F50" w:rsidRDefault="0065705B" w:rsidP="6CB340C9">
            <w:pPr>
              <w:rPr>
                <w:rFonts w:ascii="Calibri" w:hAnsi="Calibri"/>
              </w:rPr>
            </w:pPr>
          </w:p>
          <w:p w14:paraId="3FED09C1" w14:textId="7967B14E" w:rsidR="0065705B" w:rsidRPr="00AF3310" w:rsidRDefault="44B9B47D" w:rsidP="6CB340C9">
            <w:pPr>
              <w:shd w:val="clear" w:color="auto" w:fill="FFFFFF" w:themeFill="background1"/>
              <w:spacing w:line="330" w:lineRule="auto"/>
              <w:rPr>
                <w:rStyle w:val="Hyperlink"/>
                <w:rFonts w:eastAsiaTheme="minorEastAsia"/>
              </w:rPr>
            </w:pPr>
            <w:hyperlink r:id="rId10" w:history="1">
              <w:r w:rsidRPr="00135A99">
                <w:rPr>
                  <w:rStyle w:val="Hyperlink"/>
                  <w:rFonts w:ascii="Arial" w:eastAsia="Arial" w:hAnsi="Arial" w:cs="Arial"/>
                  <w:sz w:val="21"/>
                  <w:szCs w:val="21"/>
                </w:rPr>
                <w:t xml:space="preserve">Yap C, Rekowski J, Ursino M, Solovyeva O, Patel D, </w:t>
              </w:r>
              <w:proofErr w:type="spellStart"/>
              <w:r w:rsidRPr="00135A99">
                <w:rPr>
                  <w:rStyle w:val="Hyperlink"/>
                  <w:rFonts w:ascii="Arial" w:eastAsia="Arial" w:hAnsi="Arial" w:cs="Arial"/>
                  <w:sz w:val="21"/>
                  <w:szCs w:val="21"/>
                </w:rPr>
                <w:t>Dimairo</w:t>
              </w:r>
              <w:proofErr w:type="spellEnd"/>
              <w:r w:rsidRPr="00135A99">
                <w:rPr>
                  <w:rStyle w:val="Hyperlink"/>
                  <w:rFonts w:ascii="Arial" w:eastAsia="Arial" w:hAnsi="Arial" w:cs="Arial"/>
                  <w:sz w:val="21"/>
                  <w:szCs w:val="21"/>
                </w:rPr>
                <w:t xml:space="preserve"> M et al. </w:t>
              </w:r>
              <w:r w:rsidRPr="6CB340C9">
                <w:rPr>
                  <w:rStyle w:val="Hyperlink"/>
                  <w:rFonts w:ascii="Arial" w:eastAsia="Arial" w:hAnsi="Arial" w:cs="Arial"/>
                  <w:sz w:val="21"/>
                  <w:szCs w:val="21"/>
                </w:rPr>
                <w:t xml:space="preserve">Enhancing quality and impact of early phase dose-finding clinical trial protocols: SPIRIT Dose-finding Extension (SPIRIT-DEFINE) guidance BMJ 2023; </w:t>
              </w:r>
              <w:proofErr w:type="gramStart"/>
              <w:r w:rsidRPr="6CB340C9">
                <w:rPr>
                  <w:rStyle w:val="Hyperlink"/>
                  <w:rFonts w:ascii="Arial" w:eastAsia="Arial" w:hAnsi="Arial" w:cs="Arial"/>
                  <w:sz w:val="21"/>
                  <w:szCs w:val="21"/>
                </w:rPr>
                <w:t>383 :e</w:t>
              </w:r>
              <w:proofErr w:type="gramEnd"/>
              <w:r w:rsidRPr="6CB340C9">
                <w:rPr>
                  <w:rStyle w:val="Hyperlink"/>
                  <w:rFonts w:ascii="Arial" w:eastAsia="Arial" w:hAnsi="Arial" w:cs="Arial"/>
                  <w:sz w:val="21"/>
                  <w:szCs w:val="21"/>
                </w:rPr>
                <w:t>076386 doi:10.1136/bmj-2023-076386</w:t>
              </w:r>
            </w:hyperlink>
            <w:r w:rsidRPr="00AF3310">
              <w:rPr>
                <w:rStyle w:val="Hyperlink"/>
                <w:rFonts w:eastAsiaTheme="minorEastAsia"/>
              </w:rPr>
              <w:t xml:space="preserve"> </w:t>
            </w:r>
          </w:p>
          <w:p w14:paraId="61A4C245" w14:textId="58F94E35" w:rsidR="0065705B" w:rsidRPr="00AF3310" w:rsidRDefault="44B9B47D" w:rsidP="00AF3310">
            <w:pPr>
              <w:shd w:val="clear" w:color="auto" w:fill="FFFFFF" w:themeFill="background1"/>
              <w:spacing w:line="330" w:lineRule="auto"/>
              <w:rPr>
                <w:rStyle w:val="Hyperlink"/>
                <w:rFonts w:eastAsiaTheme="minorEastAsia"/>
              </w:rPr>
            </w:pPr>
            <w:hyperlink r:id="rId11" w:history="1">
              <w:r w:rsidRPr="00135A99">
                <w:rPr>
                  <w:rStyle w:val="Hyperlink"/>
                  <w:rFonts w:ascii="Arial" w:eastAsia="Arial" w:hAnsi="Arial" w:cs="Arial"/>
                  <w:sz w:val="21"/>
                  <w:szCs w:val="21"/>
                </w:rPr>
                <w:t xml:space="preserve">Yap C, Solovyeva O, de Bono J, Rekowski J, Patel D, Jaki T et al. </w:t>
              </w:r>
              <w:r w:rsidRPr="6CB340C9">
                <w:rPr>
                  <w:rStyle w:val="Hyperlink"/>
                  <w:rFonts w:ascii="Arial" w:eastAsia="Arial" w:hAnsi="Arial" w:cs="Arial"/>
                  <w:sz w:val="21"/>
                  <w:szCs w:val="21"/>
                </w:rPr>
                <w:t xml:space="preserve">Enhancing reporting quality and impact of early phase dose-finding clinical trials: CONSORT Dose-finding Extension (CONSORT-DEFINE) guidance BMJ 2023; </w:t>
              </w:r>
              <w:proofErr w:type="gramStart"/>
              <w:r w:rsidRPr="6CB340C9">
                <w:rPr>
                  <w:rStyle w:val="Hyperlink"/>
                  <w:rFonts w:ascii="Arial" w:eastAsia="Arial" w:hAnsi="Arial" w:cs="Arial"/>
                  <w:sz w:val="21"/>
                  <w:szCs w:val="21"/>
                </w:rPr>
                <w:t>383 :e</w:t>
              </w:r>
              <w:proofErr w:type="gramEnd"/>
              <w:r w:rsidRPr="6CB340C9">
                <w:rPr>
                  <w:rStyle w:val="Hyperlink"/>
                  <w:rFonts w:ascii="Arial" w:eastAsia="Arial" w:hAnsi="Arial" w:cs="Arial"/>
                  <w:sz w:val="21"/>
                  <w:szCs w:val="21"/>
                </w:rPr>
                <w:t>076387 doi:10.1136/bmj-2023-076387</w:t>
              </w:r>
            </w:hyperlink>
          </w:p>
          <w:p w14:paraId="533A1153" w14:textId="2BF1E101" w:rsidR="0065705B" w:rsidRPr="00B96F50" w:rsidRDefault="0065705B" w:rsidP="00A86E9C">
            <w:pPr>
              <w:rPr>
                <w:rFonts w:ascii="Calibri" w:hAnsi="Calibri"/>
              </w:rPr>
            </w:pPr>
          </w:p>
        </w:tc>
      </w:tr>
      <w:tr w:rsidR="00B23F59" w:rsidRPr="00B96F50" w14:paraId="2A8EC13C" w14:textId="77777777" w:rsidTr="4B5A7C9D">
        <w:tc>
          <w:tcPr>
            <w:tcW w:w="1851" w:type="dxa"/>
          </w:tcPr>
          <w:p w14:paraId="6B046AF2" w14:textId="30F9ADC7" w:rsidR="00B23F59" w:rsidRPr="00B96F50" w:rsidRDefault="00B23F59" w:rsidP="00B23F59">
            <w:pPr>
              <w:rPr>
                <w:rFonts w:ascii="Calibri" w:hAnsi="Calibri"/>
                <w:b/>
                <w:bCs/>
              </w:rPr>
            </w:pPr>
            <w:r w:rsidRPr="00B96F50">
              <w:rPr>
                <w:rFonts w:ascii="Calibri" w:hAnsi="Calibri"/>
                <w:b/>
                <w:bCs/>
              </w:rPr>
              <w:lastRenderedPageBreak/>
              <w:t>What is on your agenda?</w:t>
            </w:r>
            <w:r w:rsidRPr="00B96F50">
              <w:rPr>
                <w:rFonts w:ascii="Calibri" w:hAnsi="Calibri"/>
                <w:b/>
                <w:bCs/>
              </w:rPr>
              <w:br/>
            </w:r>
          </w:p>
        </w:tc>
        <w:tc>
          <w:tcPr>
            <w:tcW w:w="7211" w:type="dxa"/>
          </w:tcPr>
          <w:p w14:paraId="2AB3FCD6" w14:textId="0C163EDD" w:rsidR="00B23F59" w:rsidRPr="00B96F50" w:rsidRDefault="00B23F59" w:rsidP="00B23F59">
            <w:pPr>
              <w:rPr>
                <w:rFonts w:ascii="Calibri" w:hAnsi="Calibri"/>
                <w:i/>
                <w:iCs/>
              </w:rPr>
            </w:pPr>
            <w:r w:rsidRPr="00B96F50">
              <w:rPr>
                <w:rFonts w:ascii="Calibri" w:hAnsi="Calibri"/>
                <w:i/>
                <w:iCs/>
              </w:rPr>
              <w:t xml:space="preserve">Can you give us an update on current statistical issues and potential regulatory statistical concerns of the future? </w:t>
            </w:r>
          </w:p>
          <w:p w14:paraId="55F76419" w14:textId="77777777" w:rsidR="00B23F59" w:rsidRPr="00B96F50" w:rsidRDefault="00B23F59" w:rsidP="00B23F59">
            <w:pPr>
              <w:rPr>
                <w:rFonts w:ascii="Calibri" w:hAnsi="Calibri"/>
                <w:i/>
                <w:iCs/>
              </w:rPr>
            </w:pPr>
            <w:r w:rsidRPr="00B96F50">
              <w:rPr>
                <w:rFonts w:ascii="Calibri" w:hAnsi="Calibri"/>
                <w:i/>
                <w:iCs/>
              </w:rPr>
              <w:t xml:space="preserve">What regulatory guideline are planned by MHRA? Where do we see diversion in regulatory thinking from EMA? </w:t>
            </w:r>
          </w:p>
          <w:p w14:paraId="0EC8026E" w14:textId="4013525A" w:rsidR="00B23F59" w:rsidRPr="00B96F50" w:rsidRDefault="00B23F59" w:rsidP="00B23F59">
            <w:pPr>
              <w:rPr>
                <w:rFonts w:ascii="Calibri" w:hAnsi="Calibri"/>
              </w:rPr>
            </w:pPr>
          </w:p>
          <w:p w14:paraId="5E7D17BB" w14:textId="77777777" w:rsidR="00876DBB" w:rsidRDefault="00876DBB" w:rsidP="008B47A8">
            <w:pPr>
              <w:rPr>
                <w:rFonts w:ascii="Calibri" w:hAnsi="Calibri"/>
              </w:rPr>
            </w:pPr>
          </w:p>
          <w:p w14:paraId="65408DD5" w14:textId="39AC915F" w:rsidR="00C24623" w:rsidRPr="00B96F50" w:rsidRDefault="00D0342E" w:rsidP="008B47A8">
            <w:pPr>
              <w:rPr>
                <w:rFonts w:ascii="Calibri" w:hAnsi="Calibri"/>
              </w:rPr>
            </w:pPr>
            <w:r>
              <w:rPr>
                <w:rFonts w:ascii="Calibri" w:hAnsi="Calibri"/>
              </w:rPr>
              <w:t>MHRA Team</w:t>
            </w:r>
            <w:r w:rsidR="008B47A8" w:rsidRPr="00B96F50">
              <w:rPr>
                <w:rFonts w:ascii="Calibri" w:hAnsi="Calibri"/>
              </w:rPr>
              <w:t xml:space="preserve"> confirmed that there is no intention to have divergence with EMA but rather harmoni</w:t>
            </w:r>
            <w:r w:rsidR="00AA37CA" w:rsidRPr="00B96F50">
              <w:rPr>
                <w:rFonts w:ascii="Calibri" w:hAnsi="Calibri"/>
              </w:rPr>
              <w:t>s</w:t>
            </w:r>
            <w:r w:rsidR="008B47A8" w:rsidRPr="00B96F50">
              <w:rPr>
                <w:rFonts w:ascii="Calibri" w:hAnsi="Calibri"/>
              </w:rPr>
              <w:t xml:space="preserve">ation. </w:t>
            </w:r>
            <w:r w:rsidR="009C6971">
              <w:rPr>
                <w:rFonts w:ascii="Calibri" w:hAnsi="Calibri"/>
              </w:rPr>
              <w:t>To that end</w:t>
            </w:r>
            <w:r w:rsidR="008820DB">
              <w:rPr>
                <w:rFonts w:ascii="Calibri" w:hAnsi="Calibri"/>
              </w:rPr>
              <w:t>,</w:t>
            </w:r>
            <w:r w:rsidR="009C6971">
              <w:rPr>
                <w:rFonts w:ascii="Calibri" w:hAnsi="Calibri"/>
              </w:rPr>
              <w:t xml:space="preserve"> </w:t>
            </w:r>
            <w:r w:rsidR="008B47A8" w:rsidRPr="00B96F50">
              <w:rPr>
                <w:rFonts w:ascii="Calibri" w:hAnsi="Calibri"/>
              </w:rPr>
              <w:t>MHRA is now part of ICH.</w:t>
            </w:r>
          </w:p>
          <w:p w14:paraId="7E2A104D" w14:textId="77777777" w:rsidR="00C24623" w:rsidRPr="00B96F50" w:rsidRDefault="00C24623" w:rsidP="008B47A8">
            <w:pPr>
              <w:rPr>
                <w:rFonts w:ascii="Calibri" w:hAnsi="Calibri"/>
              </w:rPr>
            </w:pPr>
          </w:p>
          <w:p w14:paraId="157B8D4D" w14:textId="177BF797" w:rsidR="008B47A8" w:rsidRPr="00B96F50" w:rsidRDefault="008B47A8" w:rsidP="008B47A8">
            <w:pPr>
              <w:rPr>
                <w:rFonts w:ascii="Calibri" w:hAnsi="Calibri"/>
              </w:rPr>
            </w:pPr>
            <w:r w:rsidRPr="00B96F50">
              <w:rPr>
                <w:rFonts w:ascii="Calibri" w:hAnsi="Calibri"/>
              </w:rPr>
              <w:t xml:space="preserve">MHRA is </w:t>
            </w:r>
            <w:r w:rsidR="595B10BE" w:rsidRPr="6CB340C9">
              <w:rPr>
                <w:rFonts w:ascii="Calibri" w:hAnsi="Calibri"/>
              </w:rPr>
              <w:t>developing the</w:t>
            </w:r>
            <w:r w:rsidRPr="00B96F50">
              <w:rPr>
                <w:rFonts w:ascii="Calibri" w:hAnsi="Calibri"/>
              </w:rPr>
              <w:t xml:space="preserve"> following guidelines:</w:t>
            </w:r>
          </w:p>
          <w:p w14:paraId="3FE884E9" w14:textId="77777777" w:rsidR="008B47A8" w:rsidRPr="00B96F50" w:rsidRDefault="008B47A8" w:rsidP="008B47A8">
            <w:pPr>
              <w:pStyle w:val="ListParagraph"/>
              <w:numPr>
                <w:ilvl w:val="0"/>
                <w:numId w:val="23"/>
              </w:numPr>
              <w:rPr>
                <w:rFonts w:ascii="Calibri" w:hAnsi="Calibri"/>
              </w:rPr>
            </w:pPr>
            <w:r w:rsidRPr="00B96F50">
              <w:rPr>
                <w:rFonts w:ascii="Calibri" w:hAnsi="Calibri"/>
              </w:rPr>
              <w:t>Guideline on personalised medicine – coming soon for consultation</w:t>
            </w:r>
          </w:p>
          <w:p w14:paraId="563FB27D" w14:textId="21C69868" w:rsidR="008B47A8" w:rsidRPr="00B96F50" w:rsidRDefault="008B47A8" w:rsidP="008B47A8">
            <w:pPr>
              <w:pStyle w:val="ListParagraph"/>
              <w:numPr>
                <w:ilvl w:val="0"/>
                <w:numId w:val="23"/>
              </w:numPr>
              <w:rPr>
                <w:rFonts w:ascii="Calibri" w:hAnsi="Calibri"/>
              </w:rPr>
            </w:pPr>
            <w:r w:rsidRPr="00B96F50">
              <w:rPr>
                <w:rFonts w:ascii="Calibri" w:hAnsi="Calibri"/>
              </w:rPr>
              <w:t xml:space="preserve">Guideline on external controls </w:t>
            </w:r>
            <w:r w:rsidR="00E213A3" w:rsidRPr="00B96F50">
              <w:rPr>
                <w:rFonts w:ascii="Calibri" w:hAnsi="Calibri"/>
              </w:rPr>
              <w:t>(part of RWE series)</w:t>
            </w:r>
            <w:r w:rsidRPr="00B96F50">
              <w:rPr>
                <w:rFonts w:ascii="Calibri" w:hAnsi="Calibri"/>
              </w:rPr>
              <w:t xml:space="preserve">– draft </w:t>
            </w:r>
            <w:r w:rsidR="00E213A3" w:rsidRPr="00B96F50">
              <w:rPr>
                <w:rFonts w:ascii="Calibri" w:hAnsi="Calibri"/>
              </w:rPr>
              <w:t xml:space="preserve">but </w:t>
            </w:r>
            <w:r w:rsidR="00D553C8" w:rsidRPr="00B96F50">
              <w:rPr>
                <w:rFonts w:ascii="Calibri" w:hAnsi="Calibri"/>
              </w:rPr>
              <w:t>hopefully</w:t>
            </w:r>
            <w:r w:rsidR="00E213A3" w:rsidRPr="00B96F50">
              <w:rPr>
                <w:rFonts w:ascii="Calibri" w:hAnsi="Calibri"/>
              </w:rPr>
              <w:t xml:space="preserve"> </w:t>
            </w:r>
            <w:r w:rsidRPr="00B96F50">
              <w:rPr>
                <w:rFonts w:ascii="Calibri" w:hAnsi="Calibri"/>
              </w:rPr>
              <w:t>close to come out</w:t>
            </w:r>
            <w:r w:rsidR="00064A8A">
              <w:rPr>
                <w:rFonts w:ascii="Calibri" w:hAnsi="Calibri"/>
              </w:rPr>
              <w:t>.</w:t>
            </w:r>
          </w:p>
          <w:p w14:paraId="64AF4910" w14:textId="2965E8C1" w:rsidR="008B47A8" w:rsidRPr="00B96F50" w:rsidRDefault="008B47A8" w:rsidP="008B47A8">
            <w:pPr>
              <w:rPr>
                <w:rFonts w:ascii="Calibri" w:hAnsi="Calibri"/>
              </w:rPr>
            </w:pPr>
            <w:r w:rsidRPr="00B96F50">
              <w:rPr>
                <w:rFonts w:ascii="Calibri" w:hAnsi="Calibri"/>
              </w:rPr>
              <w:t>Other initiatives in the public domain</w:t>
            </w:r>
            <w:r w:rsidR="00BB061C" w:rsidRPr="00B96F50">
              <w:rPr>
                <w:rFonts w:ascii="Calibri" w:hAnsi="Calibri"/>
              </w:rPr>
              <w:t xml:space="preserve"> include a </w:t>
            </w:r>
            <w:r w:rsidRPr="00B96F50">
              <w:rPr>
                <w:rFonts w:ascii="Calibri" w:hAnsi="Calibri"/>
              </w:rPr>
              <w:t xml:space="preserve">document on MHRA strategic approach on artificial intelligence and </w:t>
            </w:r>
            <w:r w:rsidR="00A73697">
              <w:rPr>
                <w:rFonts w:ascii="Calibri" w:hAnsi="Calibri"/>
              </w:rPr>
              <w:t>the MHRA data strategy 2024-2027</w:t>
            </w:r>
            <w:r w:rsidR="00240971">
              <w:rPr>
                <w:rFonts w:ascii="Calibri" w:hAnsi="Calibri"/>
              </w:rPr>
              <w:t>:</w:t>
            </w:r>
            <w:r w:rsidR="00BB061C" w:rsidRPr="00B96F50">
              <w:rPr>
                <w:rFonts w:ascii="Calibri" w:hAnsi="Calibri"/>
              </w:rPr>
              <w:t xml:space="preserve"> </w:t>
            </w:r>
          </w:p>
          <w:p w14:paraId="139D102B" w14:textId="0E9FD07B" w:rsidR="008B47A8" w:rsidRDefault="57C3396F" w:rsidP="7A963B96">
            <w:hyperlink r:id="rId12" w:history="1">
              <w:r w:rsidRPr="7A963B96">
                <w:rPr>
                  <w:rStyle w:val="Hyperlink"/>
                  <w:rFonts w:ascii="Calibri" w:eastAsia="Calibri" w:hAnsi="Calibri" w:cs="Calibri"/>
                </w:rPr>
                <w:t>MHRA_Impact-of-AI-on-the-regulation-of-medical-products.pdf</w:t>
              </w:r>
            </w:hyperlink>
          </w:p>
          <w:p w14:paraId="433E0C91" w14:textId="467C7B38" w:rsidR="007D2C0E" w:rsidRPr="00B96F50" w:rsidRDefault="007D2C0E" w:rsidP="7A963B96">
            <w:pPr>
              <w:rPr>
                <w:rFonts w:ascii="Calibri" w:eastAsia="Calibri" w:hAnsi="Calibri" w:cs="Calibri"/>
              </w:rPr>
            </w:pPr>
            <w:hyperlink r:id="rId13" w:history="1">
              <w:r w:rsidRPr="007D2C0E">
                <w:rPr>
                  <w:rStyle w:val="Hyperlink"/>
                  <w:rFonts w:ascii="Calibri" w:eastAsia="Calibri" w:hAnsi="Calibri" w:cs="Calibri"/>
                </w:rPr>
                <w:t>MHRA Data Strategy 2024 - 2027</w:t>
              </w:r>
            </w:hyperlink>
          </w:p>
          <w:p w14:paraId="3392DAFB" w14:textId="7E71C6D8" w:rsidR="008B47A8" w:rsidRPr="00B96F50" w:rsidRDefault="008B47A8" w:rsidP="008B47A8">
            <w:pPr>
              <w:rPr>
                <w:rStyle w:val="Hyperlink"/>
                <w:rFonts w:ascii="Calibri" w:eastAsia="Calibri" w:hAnsi="Calibri" w:cs="Calibri"/>
              </w:rPr>
            </w:pPr>
          </w:p>
          <w:p w14:paraId="41225CE1" w14:textId="01109C12" w:rsidR="00956104" w:rsidRPr="00B96F50" w:rsidRDefault="008B47A8" w:rsidP="008B47A8">
            <w:pPr>
              <w:rPr>
                <w:rFonts w:ascii="Calibri" w:hAnsi="Calibri"/>
              </w:rPr>
            </w:pPr>
            <w:r w:rsidRPr="00B96F50">
              <w:rPr>
                <w:rFonts w:ascii="Calibri" w:hAnsi="Calibri"/>
              </w:rPr>
              <w:t>In addition, internal to MHRA, the</w:t>
            </w:r>
            <w:r w:rsidR="00637412">
              <w:rPr>
                <w:rFonts w:ascii="Calibri" w:hAnsi="Calibri"/>
              </w:rPr>
              <w:t xml:space="preserve"> </w:t>
            </w:r>
            <w:r w:rsidR="00637412" w:rsidRPr="00637412">
              <w:rPr>
                <w:rFonts w:ascii="Calibri" w:hAnsi="Calibri"/>
              </w:rPr>
              <w:t>Innovative Licensing and Access Pathway</w:t>
            </w:r>
            <w:r w:rsidR="00637412">
              <w:rPr>
                <w:rFonts w:ascii="Calibri" w:hAnsi="Calibri"/>
              </w:rPr>
              <w:t xml:space="preserve"> (</w:t>
            </w:r>
            <w:r w:rsidRPr="00B96F50">
              <w:rPr>
                <w:rFonts w:ascii="Calibri" w:hAnsi="Calibri"/>
              </w:rPr>
              <w:t>ILAP</w:t>
            </w:r>
            <w:r w:rsidR="00637412">
              <w:rPr>
                <w:rFonts w:ascii="Calibri" w:hAnsi="Calibri"/>
              </w:rPr>
              <w:t>)</w:t>
            </w:r>
            <w:r w:rsidRPr="00B96F50">
              <w:rPr>
                <w:rFonts w:ascii="Calibri" w:hAnsi="Calibri"/>
              </w:rPr>
              <w:t xml:space="preserve"> is going to be re-launched next year.</w:t>
            </w:r>
            <w:r w:rsidR="00637412">
              <w:rPr>
                <w:rFonts w:ascii="Calibri" w:hAnsi="Calibri"/>
              </w:rPr>
              <w:t xml:space="preserve"> </w:t>
            </w:r>
          </w:p>
          <w:p w14:paraId="0926B7B4" w14:textId="77777777" w:rsidR="00956104" w:rsidRPr="00B96F50" w:rsidRDefault="00956104" w:rsidP="008B47A8">
            <w:pPr>
              <w:rPr>
                <w:rFonts w:ascii="Calibri" w:hAnsi="Calibri"/>
              </w:rPr>
            </w:pPr>
          </w:p>
          <w:p w14:paraId="08D0826B" w14:textId="72BED214" w:rsidR="008B47A8" w:rsidRPr="00B96F50" w:rsidRDefault="00D0342E" w:rsidP="008B47A8">
            <w:pPr>
              <w:rPr>
                <w:rFonts w:ascii="Calibri" w:hAnsi="Calibri"/>
              </w:rPr>
            </w:pPr>
            <w:r>
              <w:rPr>
                <w:rFonts w:ascii="Calibri" w:hAnsi="Calibri"/>
              </w:rPr>
              <w:t>EFSPI</w:t>
            </w:r>
            <w:r w:rsidR="008B47A8" w:rsidRPr="00B96F50">
              <w:rPr>
                <w:rFonts w:ascii="Calibri" w:hAnsi="Calibri"/>
              </w:rPr>
              <w:t xml:space="preserve"> asked if</w:t>
            </w:r>
            <w:r w:rsidR="00240971">
              <w:rPr>
                <w:rFonts w:ascii="Calibri" w:hAnsi="Calibri"/>
              </w:rPr>
              <w:t>,</w:t>
            </w:r>
            <w:r w:rsidR="008B47A8" w:rsidRPr="00B96F50">
              <w:rPr>
                <w:rFonts w:ascii="Calibri" w:hAnsi="Calibri"/>
              </w:rPr>
              <w:t xml:space="preserve"> in the ILAP</w:t>
            </w:r>
            <w:r w:rsidR="00240971">
              <w:rPr>
                <w:rFonts w:ascii="Calibri" w:hAnsi="Calibri"/>
              </w:rPr>
              <w:t>,</w:t>
            </w:r>
            <w:r w:rsidR="008B47A8" w:rsidRPr="00B96F50">
              <w:rPr>
                <w:rFonts w:ascii="Calibri" w:hAnsi="Calibri"/>
              </w:rPr>
              <w:t xml:space="preserve"> there would be some specifics</w:t>
            </w:r>
            <w:r w:rsidR="000A31AE" w:rsidRPr="00B96F50">
              <w:rPr>
                <w:rFonts w:ascii="Calibri" w:hAnsi="Calibri"/>
              </w:rPr>
              <w:t xml:space="preserve"> from statistical perspective</w:t>
            </w:r>
            <w:r w:rsidR="00D1776A" w:rsidRPr="00B96F50">
              <w:rPr>
                <w:rFonts w:ascii="Calibri" w:hAnsi="Calibri"/>
              </w:rPr>
              <w:t xml:space="preserve"> that will be an area of focus</w:t>
            </w:r>
            <w:r w:rsidR="008B47A8" w:rsidRPr="00B96F50">
              <w:rPr>
                <w:rFonts w:ascii="Calibri" w:hAnsi="Calibri"/>
              </w:rPr>
              <w:t xml:space="preserve">. </w:t>
            </w:r>
            <w:r>
              <w:rPr>
                <w:rFonts w:ascii="Calibri" w:hAnsi="Calibri"/>
              </w:rPr>
              <w:t>MHRA Team</w:t>
            </w:r>
            <w:r w:rsidR="008B47A8" w:rsidRPr="00B96F50">
              <w:rPr>
                <w:rFonts w:ascii="Calibri" w:hAnsi="Calibri"/>
              </w:rPr>
              <w:t xml:space="preserve"> answer</w:t>
            </w:r>
            <w:r w:rsidR="00AA37CA" w:rsidRPr="00B96F50">
              <w:rPr>
                <w:rFonts w:ascii="Calibri" w:hAnsi="Calibri"/>
              </w:rPr>
              <w:t>ed</w:t>
            </w:r>
            <w:r w:rsidR="008B47A8" w:rsidRPr="00B96F50">
              <w:rPr>
                <w:rFonts w:ascii="Calibri" w:hAnsi="Calibri"/>
              </w:rPr>
              <w:t xml:space="preserve"> that there </w:t>
            </w:r>
            <w:r w:rsidR="003526C6" w:rsidRPr="00B96F50">
              <w:rPr>
                <w:rFonts w:ascii="Calibri" w:hAnsi="Calibri"/>
              </w:rPr>
              <w:t>are</w:t>
            </w:r>
            <w:r w:rsidR="008B47A8" w:rsidRPr="00B96F50">
              <w:rPr>
                <w:rFonts w:ascii="Calibri" w:hAnsi="Calibri"/>
              </w:rPr>
              <w:t xml:space="preserve"> no stats specific</w:t>
            </w:r>
            <w:r w:rsidR="00E73ADB">
              <w:rPr>
                <w:rFonts w:ascii="Calibri" w:hAnsi="Calibri"/>
              </w:rPr>
              <w:t xml:space="preserve"> </w:t>
            </w:r>
            <w:r w:rsidR="00076C8F">
              <w:rPr>
                <w:rFonts w:ascii="Calibri" w:hAnsi="Calibri"/>
              </w:rPr>
              <w:t>modules</w:t>
            </w:r>
            <w:r w:rsidR="002F706B" w:rsidRPr="00B96F50">
              <w:rPr>
                <w:rFonts w:ascii="Calibri" w:hAnsi="Calibri"/>
              </w:rPr>
              <w:t xml:space="preserve">. </w:t>
            </w:r>
            <w:r w:rsidR="00076C8F">
              <w:rPr>
                <w:rFonts w:ascii="Calibri" w:hAnsi="Calibri"/>
              </w:rPr>
              <w:t>However</w:t>
            </w:r>
            <w:r w:rsidR="00BE0A64">
              <w:rPr>
                <w:rFonts w:ascii="Calibri" w:hAnsi="Calibri"/>
              </w:rPr>
              <w:t>,</w:t>
            </w:r>
            <w:r w:rsidR="00076C8F" w:rsidRPr="00B96F50">
              <w:rPr>
                <w:rFonts w:ascii="Calibri" w:hAnsi="Calibri"/>
              </w:rPr>
              <w:t xml:space="preserve"> </w:t>
            </w:r>
            <w:r w:rsidR="002F706B" w:rsidRPr="00B96F50">
              <w:rPr>
                <w:rFonts w:ascii="Calibri" w:hAnsi="Calibri"/>
              </w:rPr>
              <w:t xml:space="preserve">as part of </w:t>
            </w:r>
            <w:r w:rsidR="00076C8F">
              <w:rPr>
                <w:rFonts w:ascii="Calibri" w:hAnsi="Calibri"/>
              </w:rPr>
              <w:t>an</w:t>
            </w:r>
            <w:r w:rsidR="002F706B" w:rsidRPr="00B96F50">
              <w:rPr>
                <w:rFonts w:ascii="Calibri" w:hAnsi="Calibri"/>
              </w:rPr>
              <w:t xml:space="preserve"> </w:t>
            </w:r>
            <w:r w:rsidR="009E5DBB" w:rsidRPr="00B96F50">
              <w:rPr>
                <w:rFonts w:ascii="Calibri" w:hAnsi="Calibri"/>
              </w:rPr>
              <w:t>application, a</w:t>
            </w:r>
            <w:r w:rsidR="1947BC62" w:rsidRPr="7A963B96">
              <w:rPr>
                <w:rFonts w:ascii="Calibri" w:hAnsi="Calibri"/>
              </w:rPr>
              <w:t xml:space="preserve"> </w:t>
            </w:r>
            <w:r w:rsidR="007423A5" w:rsidRPr="7A963B96">
              <w:rPr>
                <w:rFonts w:ascii="Calibri" w:hAnsi="Calibri"/>
              </w:rPr>
              <w:t>statistician could</w:t>
            </w:r>
            <w:r w:rsidR="008B47A8" w:rsidRPr="00B96F50">
              <w:rPr>
                <w:rFonts w:ascii="Calibri" w:hAnsi="Calibri"/>
              </w:rPr>
              <w:t xml:space="preserve"> be involved</w:t>
            </w:r>
            <w:r w:rsidR="00C92629" w:rsidRPr="00B96F50">
              <w:rPr>
                <w:rFonts w:ascii="Calibri" w:hAnsi="Calibri"/>
              </w:rPr>
              <w:t>,</w:t>
            </w:r>
            <w:r w:rsidR="004375FB" w:rsidRPr="00B96F50">
              <w:rPr>
                <w:rFonts w:ascii="Calibri" w:hAnsi="Calibri"/>
              </w:rPr>
              <w:t xml:space="preserve"> </w:t>
            </w:r>
            <w:r w:rsidR="00076C8F">
              <w:rPr>
                <w:rFonts w:ascii="Calibri" w:hAnsi="Calibri"/>
              </w:rPr>
              <w:t>for example</w:t>
            </w:r>
            <w:r w:rsidR="00BE0A64">
              <w:rPr>
                <w:rFonts w:ascii="Calibri" w:hAnsi="Calibri"/>
              </w:rPr>
              <w:t xml:space="preserve"> if there were</w:t>
            </w:r>
            <w:r w:rsidR="004375FB" w:rsidRPr="00B96F50">
              <w:rPr>
                <w:rFonts w:ascii="Calibri" w:hAnsi="Calibri"/>
              </w:rPr>
              <w:t xml:space="preserve"> </w:t>
            </w:r>
            <w:r w:rsidR="00EC7771" w:rsidRPr="00B96F50">
              <w:rPr>
                <w:rFonts w:ascii="Calibri" w:hAnsi="Calibri"/>
              </w:rPr>
              <w:t>proposal</w:t>
            </w:r>
            <w:r w:rsidR="00B6498F">
              <w:rPr>
                <w:rFonts w:ascii="Calibri" w:hAnsi="Calibri"/>
              </w:rPr>
              <w:t>s</w:t>
            </w:r>
            <w:r w:rsidR="00EC7771" w:rsidRPr="00B96F50">
              <w:rPr>
                <w:rFonts w:ascii="Calibri" w:hAnsi="Calibri"/>
              </w:rPr>
              <w:t xml:space="preserve"> for </w:t>
            </w:r>
            <w:r w:rsidR="005639CC" w:rsidRPr="00B96F50">
              <w:rPr>
                <w:rFonts w:ascii="Calibri" w:hAnsi="Calibri"/>
              </w:rPr>
              <w:t xml:space="preserve">novel </w:t>
            </w:r>
            <w:r w:rsidR="004375FB" w:rsidRPr="00B96F50">
              <w:rPr>
                <w:rFonts w:ascii="Calibri" w:hAnsi="Calibri"/>
              </w:rPr>
              <w:t xml:space="preserve">statistical approaches used for </w:t>
            </w:r>
            <w:r w:rsidR="00EC7771" w:rsidRPr="00B96F50">
              <w:rPr>
                <w:rFonts w:ascii="Calibri" w:hAnsi="Calibri"/>
              </w:rPr>
              <w:t xml:space="preserve">a </w:t>
            </w:r>
            <w:r w:rsidR="004375FB" w:rsidRPr="00B96F50">
              <w:rPr>
                <w:rFonts w:ascii="Calibri" w:hAnsi="Calibri"/>
              </w:rPr>
              <w:t xml:space="preserve">clinical development. </w:t>
            </w:r>
            <w:r w:rsidR="13104D34" w:rsidRPr="7A963B96">
              <w:rPr>
                <w:rFonts w:ascii="Calibri" w:hAnsi="Calibri"/>
              </w:rPr>
              <w:t>Such discussions</w:t>
            </w:r>
            <w:r w:rsidR="004375FB" w:rsidRPr="00B96F50">
              <w:rPr>
                <w:rFonts w:ascii="Calibri" w:hAnsi="Calibri"/>
              </w:rPr>
              <w:t xml:space="preserve"> </w:t>
            </w:r>
            <w:r w:rsidR="0AB181FA" w:rsidRPr="7A963B96">
              <w:rPr>
                <w:rFonts w:ascii="Calibri" w:hAnsi="Calibri"/>
              </w:rPr>
              <w:t>may also</w:t>
            </w:r>
            <w:r w:rsidR="00D97C18">
              <w:rPr>
                <w:rFonts w:ascii="Calibri" w:hAnsi="Calibri"/>
              </w:rPr>
              <w:t xml:space="preserve"> </w:t>
            </w:r>
            <w:r w:rsidR="004375FB" w:rsidRPr="00B96F50">
              <w:rPr>
                <w:rFonts w:ascii="Calibri" w:hAnsi="Calibri"/>
              </w:rPr>
              <w:t xml:space="preserve">be </w:t>
            </w:r>
            <w:r w:rsidR="15F1FC33" w:rsidRPr="7A963B96">
              <w:rPr>
                <w:rFonts w:ascii="Calibri" w:hAnsi="Calibri"/>
              </w:rPr>
              <w:t>initiated</w:t>
            </w:r>
            <w:r w:rsidR="004375FB" w:rsidRPr="00B96F50">
              <w:rPr>
                <w:rFonts w:ascii="Calibri" w:hAnsi="Calibri"/>
              </w:rPr>
              <w:t xml:space="preserve"> during scientific advice</w:t>
            </w:r>
            <w:r w:rsidR="009E5DBB">
              <w:rPr>
                <w:rFonts w:ascii="Calibri" w:hAnsi="Calibri"/>
              </w:rPr>
              <w:t>.</w:t>
            </w:r>
            <w:r w:rsidR="00BE0A64">
              <w:rPr>
                <w:rFonts w:ascii="Calibri" w:hAnsi="Calibri"/>
              </w:rPr>
              <w:t xml:space="preserve"> </w:t>
            </w:r>
            <w:r w:rsidR="009E5DBB">
              <w:rPr>
                <w:rFonts w:ascii="Calibri" w:hAnsi="Calibri"/>
              </w:rPr>
              <w:t>T</w:t>
            </w:r>
            <w:r w:rsidR="009E5DBB" w:rsidRPr="7A963B96">
              <w:rPr>
                <w:rFonts w:ascii="Calibri" w:hAnsi="Calibri"/>
              </w:rPr>
              <w:t>hough</w:t>
            </w:r>
            <w:r w:rsidR="009E5DBB">
              <w:rPr>
                <w:rFonts w:ascii="Calibri" w:hAnsi="Calibri"/>
              </w:rPr>
              <w:t>,</w:t>
            </w:r>
            <w:r w:rsidR="009E5DBB" w:rsidRPr="7A963B96">
              <w:rPr>
                <w:rFonts w:ascii="Calibri" w:hAnsi="Calibri"/>
              </w:rPr>
              <w:t xml:space="preserve"> </w:t>
            </w:r>
            <w:r w:rsidR="009E5DBB" w:rsidRPr="00B96F50">
              <w:rPr>
                <w:rFonts w:ascii="Calibri" w:hAnsi="Calibri"/>
              </w:rPr>
              <w:t>as</w:t>
            </w:r>
            <w:r w:rsidR="008B47A8" w:rsidRPr="00B96F50">
              <w:rPr>
                <w:rFonts w:ascii="Calibri" w:hAnsi="Calibri"/>
              </w:rPr>
              <w:t xml:space="preserve"> part of the ILAP, </w:t>
            </w:r>
            <w:r w:rsidR="001B2399" w:rsidRPr="00B96F50">
              <w:rPr>
                <w:rFonts w:ascii="Calibri" w:hAnsi="Calibri"/>
              </w:rPr>
              <w:t>the</w:t>
            </w:r>
            <w:r w:rsidR="00C92629" w:rsidRPr="00B96F50">
              <w:rPr>
                <w:rFonts w:ascii="Calibri" w:hAnsi="Calibri"/>
              </w:rPr>
              <w:t>re is the</w:t>
            </w:r>
            <w:r w:rsidR="001B2399" w:rsidRPr="00B96F50">
              <w:rPr>
                <w:rFonts w:ascii="Calibri" w:hAnsi="Calibri"/>
              </w:rPr>
              <w:t xml:space="preserve"> opportunity </w:t>
            </w:r>
            <w:r w:rsidR="00C92629" w:rsidRPr="00B96F50">
              <w:rPr>
                <w:rFonts w:ascii="Calibri" w:hAnsi="Calibri"/>
              </w:rPr>
              <w:t>to have</w:t>
            </w:r>
            <w:r w:rsidR="008B47A8" w:rsidRPr="00B96F50">
              <w:rPr>
                <w:rFonts w:ascii="Calibri" w:hAnsi="Calibri"/>
              </w:rPr>
              <w:t xml:space="preserve"> HTA contributions (e.g. </w:t>
            </w:r>
            <w:r w:rsidR="007423A5" w:rsidRPr="00B96F50">
              <w:rPr>
                <w:rFonts w:ascii="Calibri" w:hAnsi="Calibri"/>
              </w:rPr>
              <w:t>NICE</w:t>
            </w:r>
            <w:r w:rsidR="007423A5">
              <w:rPr>
                <w:rFonts w:ascii="Calibri" w:hAnsi="Calibri"/>
              </w:rPr>
              <w:t xml:space="preserve">, </w:t>
            </w:r>
            <w:r w:rsidR="007423A5" w:rsidRPr="00B96F50">
              <w:rPr>
                <w:rFonts w:ascii="Calibri" w:hAnsi="Calibri"/>
              </w:rPr>
              <w:t>the</w:t>
            </w:r>
            <w:r w:rsidR="00E8169C">
              <w:rPr>
                <w:rFonts w:ascii="Calibri" w:hAnsi="Calibri"/>
              </w:rPr>
              <w:t xml:space="preserve"> Scottish </w:t>
            </w:r>
            <w:r w:rsidR="00A536B7">
              <w:rPr>
                <w:rFonts w:ascii="Calibri" w:hAnsi="Calibri"/>
              </w:rPr>
              <w:t>Medicines Consortium</w:t>
            </w:r>
            <w:r w:rsidR="00D334DC">
              <w:rPr>
                <w:rFonts w:ascii="Calibri" w:hAnsi="Calibri"/>
              </w:rPr>
              <w:t xml:space="preserve"> and the </w:t>
            </w:r>
            <w:r w:rsidR="00AD7AD0" w:rsidRPr="00AD7AD0">
              <w:rPr>
                <w:rFonts w:ascii="Calibri" w:hAnsi="Calibri"/>
              </w:rPr>
              <w:t>All Wales Therapeutic and Toxicology Centr</w:t>
            </w:r>
            <w:r w:rsidR="00303BDC">
              <w:rPr>
                <w:rFonts w:ascii="Calibri" w:hAnsi="Calibri"/>
              </w:rPr>
              <w:t>e</w:t>
            </w:r>
            <w:r w:rsidR="008B47A8" w:rsidRPr="00B96F50">
              <w:rPr>
                <w:rFonts w:ascii="Calibri" w:hAnsi="Calibri"/>
              </w:rPr>
              <w:t xml:space="preserve">) </w:t>
            </w:r>
            <w:r w:rsidR="00615419" w:rsidRPr="00B96F50">
              <w:rPr>
                <w:rFonts w:ascii="Calibri" w:hAnsi="Calibri"/>
              </w:rPr>
              <w:t xml:space="preserve">and </w:t>
            </w:r>
            <w:r w:rsidR="00615419" w:rsidRPr="7A963B96">
              <w:rPr>
                <w:rFonts w:ascii="Calibri" w:hAnsi="Calibri"/>
              </w:rPr>
              <w:t>therefore</w:t>
            </w:r>
            <w:r w:rsidR="2E7F128E" w:rsidRPr="7A963B96">
              <w:rPr>
                <w:rFonts w:ascii="Calibri" w:hAnsi="Calibri"/>
              </w:rPr>
              <w:t xml:space="preserve"> the </w:t>
            </w:r>
            <w:r w:rsidR="5CCA751C" w:rsidRPr="7A963B96">
              <w:rPr>
                <w:rFonts w:ascii="Calibri" w:hAnsi="Calibri"/>
              </w:rPr>
              <w:t>proposals</w:t>
            </w:r>
            <w:r w:rsidR="005639CC" w:rsidRPr="00B96F50">
              <w:rPr>
                <w:rFonts w:ascii="Calibri" w:hAnsi="Calibri"/>
              </w:rPr>
              <w:t xml:space="preserve"> can be </w:t>
            </w:r>
            <w:r w:rsidR="002475DF">
              <w:rPr>
                <w:rFonts w:ascii="Calibri" w:hAnsi="Calibri"/>
              </w:rPr>
              <w:t>discussed with all parties present</w:t>
            </w:r>
            <w:r w:rsidR="00DE57FF" w:rsidRPr="00B96F50">
              <w:rPr>
                <w:rFonts w:ascii="Calibri" w:hAnsi="Calibri"/>
              </w:rPr>
              <w:t>.</w:t>
            </w:r>
          </w:p>
          <w:p w14:paraId="22781FBC" w14:textId="77777777" w:rsidR="0077028C" w:rsidRPr="00B96F50" w:rsidRDefault="0077028C" w:rsidP="008B47A8">
            <w:pPr>
              <w:rPr>
                <w:rFonts w:ascii="Calibri" w:hAnsi="Calibri"/>
              </w:rPr>
            </w:pPr>
          </w:p>
          <w:p w14:paraId="4227E749" w14:textId="3108FA4E" w:rsidR="008B47A8" w:rsidRPr="00B96F50" w:rsidRDefault="00D0342E" w:rsidP="008B47A8">
            <w:pPr>
              <w:rPr>
                <w:rFonts w:ascii="Calibri" w:hAnsi="Calibri"/>
              </w:rPr>
            </w:pPr>
            <w:r>
              <w:rPr>
                <w:rFonts w:ascii="Calibri" w:hAnsi="Calibri"/>
              </w:rPr>
              <w:t>EFSPI</w:t>
            </w:r>
            <w:r w:rsidR="00956104" w:rsidRPr="00B96F50">
              <w:rPr>
                <w:rFonts w:ascii="Calibri" w:hAnsi="Calibri"/>
              </w:rPr>
              <w:t xml:space="preserve"> asked </w:t>
            </w:r>
            <w:r w:rsidR="00F246E9" w:rsidRPr="00B96F50">
              <w:rPr>
                <w:rFonts w:ascii="Calibri" w:hAnsi="Calibri"/>
              </w:rPr>
              <w:t>about the</w:t>
            </w:r>
            <w:r w:rsidR="00240F0F" w:rsidRPr="00B96F50">
              <w:rPr>
                <w:rFonts w:ascii="Calibri" w:hAnsi="Calibri"/>
              </w:rPr>
              <w:t xml:space="preserve"> links between MHRA and </w:t>
            </w:r>
            <w:r w:rsidR="00956104" w:rsidRPr="00B96F50">
              <w:rPr>
                <w:rFonts w:ascii="Calibri" w:hAnsi="Calibri"/>
              </w:rPr>
              <w:t>the</w:t>
            </w:r>
            <w:r w:rsidR="008B47A8" w:rsidRPr="00B96F50">
              <w:rPr>
                <w:rFonts w:ascii="Calibri" w:hAnsi="Calibri"/>
              </w:rPr>
              <w:t xml:space="preserve"> EMA </w:t>
            </w:r>
            <w:r w:rsidR="00AA37CA" w:rsidRPr="00B96F50">
              <w:rPr>
                <w:rFonts w:ascii="Calibri" w:hAnsi="Calibri"/>
              </w:rPr>
              <w:t>M</w:t>
            </w:r>
            <w:r w:rsidR="00240F0F" w:rsidRPr="00B96F50">
              <w:rPr>
                <w:rFonts w:ascii="Calibri" w:hAnsi="Calibri"/>
              </w:rPr>
              <w:t>ethod</w:t>
            </w:r>
            <w:r w:rsidR="00AA37CA" w:rsidRPr="00B96F50">
              <w:rPr>
                <w:rFonts w:ascii="Calibri" w:hAnsi="Calibri"/>
              </w:rPr>
              <w:t>ology</w:t>
            </w:r>
            <w:r w:rsidR="00240F0F" w:rsidRPr="00B96F50">
              <w:rPr>
                <w:rFonts w:ascii="Calibri" w:hAnsi="Calibri"/>
              </w:rPr>
              <w:t xml:space="preserve"> </w:t>
            </w:r>
            <w:r w:rsidR="008B47A8" w:rsidRPr="00B96F50">
              <w:rPr>
                <w:rFonts w:ascii="Calibri" w:hAnsi="Calibri"/>
              </w:rPr>
              <w:t>Work</w:t>
            </w:r>
            <w:r w:rsidR="00C16403" w:rsidRPr="00B96F50">
              <w:rPr>
                <w:rFonts w:ascii="Calibri" w:hAnsi="Calibri"/>
              </w:rPr>
              <w:t>ing party</w:t>
            </w:r>
            <w:r w:rsidR="00E70CB8" w:rsidRPr="00B96F50">
              <w:rPr>
                <w:rFonts w:ascii="Calibri" w:hAnsi="Calibri"/>
              </w:rPr>
              <w:t xml:space="preserve"> to have harmoni</w:t>
            </w:r>
            <w:r w:rsidR="00AA37CA" w:rsidRPr="00B96F50">
              <w:rPr>
                <w:rFonts w:ascii="Calibri" w:hAnsi="Calibri"/>
              </w:rPr>
              <w:t>s</w:t>
            </w:r>
            <w:r w:rsidR="00E70CB8" w:rsidRPr="00B96F50">
              <w:rPr>
                <w:rFonts w:ascii="Calibri" w:hAnsi="Calibri"/>
              </w:rPr>
              <w:t>ation on directions</w:t>
            </w:r>
            <w:r w:rsidR="00240F0F" w:rsidRPr="00B96F50">
              <w:rPr>
                <w:rFonts w:ascii="Calibri" w:hAnsi="Calibri"/>
              </w:rPr>
              <w:t>.</w:t>
            </w:r>
            <w:r w:rsidR="008B47A8" w:rsidRPr="00B96F50">
              <w:rPr>
                <w:rFonts w:ascii="Calibri" w:hAnsi="Calibri"/>
              </w:rPr>
              <w:t xml:space="preserve"> </w:t>
            </w:r>
            <w:r>
              <w:rPr>
                <w:rFonts w:ascii="Calibri" w:hAnsi="Calibri"/>
              </w:rPr>
              <w:t>MHRA Team</w:t>
            </w:r>
            <w:r w:rsidR="00DD71F1" w:rsidRPr="00B96F50">
              <w:rPr>
                <w:rFonts w:ascii="Calibri" w:hAnsi="Calibri"/>
              </w:rPr>
              <w:t xml:space="preserve"> answered that </w:t>
            </w:r>
            <w:r w:rsidR="00D20A67" w:rsidRPr="00B96F50">
              <w:rPr>
                <w:rFonts w:ascii="Calibri" w:hAnsi="Calibri"/>
              </w:rPr>
              <w:t>MHRA is not formally involved</w:t>
            </w:r>
            <w:r w:rsidR="00AF6527" w:rsidRPr="00B96F50">
              <w:rPr>
                <w:rFonts w:ascii="Calibri" w:hAnsi="Calibri"/>
              </w:rPr>
              <w:t xml:space="preserve"> as </w:t>
            </w:r>
            <w:r w:rsidR="003509C7" w:rsidRPr="00B96F50">
              <w:rPr>
                <w:rFonts w:ascii="Calibri" w:hAnsi="Calibri"/>
              </w:rPr>
              <w:t xml:space="preserve">MHRA would not be involved in the authoring of </w:t>
            </w:r>
            <w:r w:rsidR="00136DE3">
              <w:rPr>
                <w:rFonts w:ascii="Calibri" w:hAnsi="Calibri"/>
              </w:rPr>
              <w:t>EMA</w:t>
            </w:r>
            <w:r w:rsidR="003509C7" w:rsidRPr="00B96F50">
              <w:rPr>
                <w:rFonts w:ascii="Calibri" w:hAnsi="Calibri"/>
              </w:rPr>
              <w:t xml:space="preserve"> guidelines</w:t>
            </w:r>
            <w:r w:rsidR="008B47A8" w:rsidRPr="00B96F50">
              <w:rPr>
                <w:rFonts w:ascii="Calibri" w:hAnsi="Calibri"/>
              </w:rPr>
              <w:t>.</w:t>
            </w:r>
            <w:r w:rsidR="003509C7" w:rsidRPr="00B96F50">
              <w:rPr>
                <w:rFonts w:ascii="Calibri" w:hAnsi="Calibri"/>
              </w:rPr>
              <w:t xml:space="preserve"> However, MHRA </w:t>
            </w:r>
            <w:r w:rsidR="003509C7" w:rsidRPr="7A963B96">
              <w:rPr>
                <w:rFonts w:ascii="Calibri" w:hAnsi="Calibri"/>
              </w:rPr>
              <w:t>provide</w:t>
            </w:r>
            <w:r w:rsidR="220FD4ED" w:rsidRPr="7A963B96">
              <w:rPr>
                <w:rFonts w:ascii="Calibri" w:hAnsi="Calibri"/>
              </w:rPr>
              <w:t>s</w:t>
            </w:r>
            <w:r w:rsidR="008B47A8" w:rsidRPr="00B96F50">
              <w:rPr>
                <w:rFonts w:ascii="Calibri" w:hAnsi="Calibri"/>
              </w:rPr>
              <w:t xml:space="preserve"> </w:t>
            </w:r>
            <w:r w:rsidR="003509C7" w:rsidRPr="00B96F50">
              <w:rPr>
                <w:rFonts w:ascii="Calibri" w:hAnsi="Calibri"/>
              </w:rPr>
              <w:t>c</w:t>
            </w:r>
            <w:r w:rsidR="008B47A8" w:rsidRPr="00B96F50">
              <w:rPr>
                <w:rFonts w:ascii="Calibri" w:hAnsi="Calibri"/>
              </w:rPr>
              <w:t xml:space="preserve">omments </w:t>
            </w:r>
            <w:r w:rsidR="4A0A17C3" w:rsidRPr="7A963B96">
              <w:rPr>
                <w:rFonts w:ascii="Calibri" w:hAnsi="Calibri"/>
              </w:rPr>
              <w:t xml:space="preserve">on new draft </w:t>
            </w:r>
            <w:r w:rsidR="008B47A8" w:rsidRPr="00B96F50">
              <w:rPr>
                <w:rFonts w:ascii="Calibri" w:hAnsi="Calibri"/>
              </w:rPr>
              <w:t xml:space="preserve">EMA guidelines </w:t>
            </w:r>
            <w:r w:rsidR="049B29AE" w:rsidRPr="7A963B96">
              <w:rPr>
                <w:rFonts w:ascii="Calibri" w:hAnsi="Calibri"/>
              </w:rPr>
              <w:t>when released for public</w:t>
            </w:r>
            <w:r w:rsidR="008B47A8" w:rsidRPr="00B96F50">
              <w:rPr>
                <w:rFonts w:ascii="Calibri" w:hAnsi="Calibri"/>
              </w:rPr>
              <w:t xml:space="preserve"> consultation. </w:t>
            </w:r>
            <w:r w:rsidR="1475CC48" w:rsidRPr="7A963B96">
              <w:rPr>
                <w:rFonts w:ascii="Calibri" w:hAnsi="Calibri"/>
              </w:rPr>
              <w:t>Feedba</w:t>
            </w:r>
            <w:r w:rsidR="71A57FAE" w:rsidRPr="7A963B96">
              <w:rPr>
                <w:rFonts w:ascii="Calibri" w:hAnsi="Calibri"/>
              </w:rPr>
              <w:t>c</w:t>
            </w:r>
            <w:r w:rsidR="1475CC48" w:rsidRPr="7A963B96">
              <w:rPr>
                <w:rFonts w:ascii="Calibri" w:hAnsi="Calibri"/>
              </w:rPr>
              <w:t>k on these draft</w:t>
            </w:r>
            <w:r w:rsidR="6A338B5D" w:rsidRPr="7A963B96">
              <w:rPr>
                <w:rFonts w:ascii="Calibri" w:hAnsi="Calibri"/>
              </w:rPr>
              <w:t>s</w:t>
            </w:r>
            <w:r w:rsidR="1475CC48" w:rsidRPr="7A963B96">
              <w:rPr>
                <w:rFonts w:ascii="Calibri" w:hAnsi="Calibri"/>
              </w:rPr>
              <w:t xml:space="preserve"> i</w:t>
            </w:r>
            <w:r w:rsidR="6E39A79F" w:rsidRPr="7A963B96">
              <w:rPr>
                <w:rFonts w:ascii="Calibri" w:hAnsi="Calibri"/>
              </w:rPr>
              <w:t>s gathered from the individuals and final comment</w:t>
            </w:r>
            <w:r w:rsidR="007423A5">
              <w:rPr>
                <w:rFonts w:ascii="Calibri" w:hAnsi="Calibri"/>
              </w:rPr>
              <w:t>s</w:t>
            </w:r>
            <w:r w:rsidR="6E39A79F" w:rsidRPr="7A963B96">
              <w:rPr>
                <w:rFonts w:ascii="Calibri" w:hAnsi="Calibri"/>
              </w:rPr>
              <w:t xml:space="preserve"> are sent after discussion with the team</w:t>
            </w:r>
            <w:r w:rsidR="00077563" w:rsidRPr="7A963B96">
              <w:rPr>
                <w:rFonts w:ascii="Calibri" w:hAnsi="Calibri"/>
              </w:rPr>
              <w:t>.</w:t>
            </w:r>
            <w:r w:rsidR="00077563" w:rsidRPr="00B96F50">
              <w:rPr>
                <w:rFonts w:ascii="Calibri" w:hAnsi="Calibri"/>
              </w:rPr>
              <w:t xml:space="preserve"> </w:t>
            </w:r>
          </w:p>
          <w:p w14:paraId="7C14AC1B" w14:textId="77777777" w:rsidR="00956104" w:rsidRPr="00B96F50" w:rsidRDefault="00956104" w:rsidP="008B47A8">
            <w:pPr>
              <w:rPr>
                <w:rFonts w:ascii="Calibri" w:hAnsi="Calibri"/>
              </w:rPr>
            </w:pPr>
          </w:p>
          <w:p w14:paraId="2387C49F" w14:textId="37417DDC" w:rsidR="00B23F59" w:rsidRPr="00B96F50" w:rsidRDefault="00D0342E" w:rsidP="00B23F59">
            <w:pPr>
              <w:rPr>
                <w:rFonts w:ascii="Calibri" w:hAnsi="Calibri"/>
              </w:rPr>
            </w:pPr>
            <w:r>
              <w:rPr>
                <w:rFonts w:ascii="Calibri" w:hAnsi="Calibri"/>
              </w:rPr>
              <w:lastRenderedPageBreak/>
              <w:t>EFSPI</w:t>
            </w:r>
            <w:r w:rsidR="008E1696" w:rsidRPr="00B96F50">
              <w:rPr>
                <w:rFonts w:ascii="Calibri" w:hAnsi="Calibri"/>
              </w:rPr>
              <w:t xml:space="preserve"> questioned about the relationship between the</w:t>
            </w:r>
            <w:r w:rsidR="008B47A8" w:rsidRPr="00B96F50">
              <w:rPr>
                <w:rFonts w:ascii="Calibri" w:hAnsi="Calibri"/>
              </w:rPr>
              <w:t xml:space="preserve"> </w:t>
            </w:r>
            <w:r w:rsidR="008E1696" w:rsidRPr="00B96F50">
              <w:rPr>
                <w:rFonts w:ascii="Calibri" w:hAnsi="Calibri"/>
              </w:rPr>
              <w:t xml:space="preserve">EMA and the </w:t>
            </w:r>
            <w:r w:rsidR="008B47A8" w:rsidRPr="00B96F50">
              <w:rPr>
                <w:rFonts w:ascii="Calibri" w:hAnsi="Calibri"/>
              </w:rPr>
              <w:t>Access consortium (</w:t>
            </w:r>
            <w:r w:rsidR="008E1696" w:rsidRPr="00B96F50">
              <w:rPr>
                <w:rFonts w:ascii="Calibri" w:hAnsi="Calibri"/>
              </w:rPr>
              <w:t>MHRA</w:t>
            </w:r>
            <w:r w:rsidR="008B47A8" w:rsidRPr="00B96F50">
              <w:rPr>
                <w:rFonts w:ascii="Calibri" w:hAnsi="Calibri"/>
              </w:rPr>
              <w:t xml:space="preserve">, </w:t>
            </w:r>
            <w:r w:rsidR="009F1B3B">
              <w:rPr>
                <w:rFonts w:ascii="Calibri" w:hAnsi="Calibri"/>
              </w:rPr>
              <w:t xml:space="preserve">Australia, </w:t>
            </w:r>
            <w:r w:rsidR="008B47A8" w:rsidRPr="00B96F50">
              <w:rPr>
                <w:rFonts w:ascii="Calibri" w:hAnsi="Calibri"/>
              </w:rPr>
              <w:t>Canada</w:t>
            </w:r>
            <w:r w:rsidR="008E1696" w:rsidRPr="00B96F50">
              <w:rPr>
                <w:rFonts w:ascii="Calibri" w:hAnsi="Calibri"/>
              </w:rPr>
              <w:t xml:space="preserve">, </w:t>
            </w:r>
            <w:r w:rsidR="008B47A8" w:rsidRPr="00B96F50">
              <w:rPr>
                <w:rFonts w:ascii="Calibri" w:hAnsi="Calibri"/>
              </w:rPr>
              <w:t>Singapore</w:t>
            </w:r>
            <w:r w:rsidR="00E711D9">
              <w:rPr>
                <w:rFonts w:ascii="Calibri" w:hAnsi="Calibri"/>
              </w:rPr>
              <w:t>, Switzerland</w:t>
            </w:r>
            <w:r w:rsidR="008B47A8" w:rsidRPr="00B96F50">
              <w:rPr>
                <w:rFonts w:ascii="Calibri" w:hAnsi="Calibri"/>
              </w:rPr>
              <w:t>)</w:t>
            </w:r>
            <w:r w:rsidR="00B57D85" w:rsidRPr="00B96F50">
              <w:rPr>
                <w:rFonts w:ascii="Calibri" w:hAnsi="Calibri"/>
              </w:rPr>
              <w:t xml:space="preserve">. </w:t>
            </w:r>
            <w:r>
              <w:rPr>
                <w:rFonts w:ascii="Calibri" w:hAnsi="Calibri"/>
              </w:rPr>
              <w:t>MHRA Team</w:t>
            </w:r>
            <w:r w:rsidR="00B57D85" w:rsidRPr="00B96F50">
              <w:rPr>
                <w:rFonts w:ascii="Calibri" w:hAnsi="Calibri"/>
              </w:rPr>
              <w:t xml:space="preserve"> answered that</w:t>
            </w:r>
            <w:r w:rsidR="009F1B3B">
              <w:rPr>
                <w:rFonts w:ascii="Calibri" w:hAnsi="Calibri"/>
              </w:rPr>
              <w:t xml:space="preserve"> </w:t>
            </w:r>
            <w:r w:rsidR="00D73790">
              <w:rPr>
                <w:rFonts w:ascii="Calibri" w:hAnsi="Calibri"/>
              </w:rPr>
              <w:t>the UK joined the ACCESS consortium in 2020.</w:t>
            </w:r>
            <w:r w:rsidR="00023255" w:rsidRPr="00B96F50">
              <w:rPr>
                <w:rFonts w:ascii="Calibri" w:hAnsi="Calibri"/>
              </w:rPr>
              <w:t xml:space="preserve"> </w:t>
            </w:r>
            <w:r w:rsidR="009F1B3B">
              <w:rPr>
                <w:rFonts w:ascii="Calibri" w:hAnsi="Calibri"/>
              </w:rPr>
              <w:t>As part of this there is an</w:t>
            </w:r>
            <w:r w:rsidR="009F1B3B" w:rsidRPr="00B96F50">
              <w:rPr>
                <w:rFonts w:ascii="Calibri" w:hAnsi="Calibri"/>
              </w:rPr>
              <w:t xml:space="preserve"> </w:t>
            </w:r>
            <w:r w:rsidR="00D553C8" w:rsidRPr="00B96F50">
              <w:rPr>
                <w:rFonts w:ascii="Calibri" w:hAnsi="Calibri"/>
              </w:rPr>
              <w:t>offer</w:t>
            </w:r>
            <w:r w:rsidR="009F1B3B">
              <w:rPr>
                <w:rFonts w:ascii="Calibri" w:hAnsi="Calibri"/>
              </w:rPr>
              <w:t xml:space="preserve"> of</w:t>
            </w:r>
            <w:r w:rsidR="00D553C8" w:rsidRPr="00B96F50">
              <w:rPr>
                <w:rFonts w:ascii="Calibri" w:hAnsi="Calibri"/>
              </w:rPr>
              <w:t xml:space="preserve"> joint</w:t>
            </w:r>
            <w:r w:rsidR="008B47A8" w:rsidRPr="00B96F50">
              <w:rPr>
                <w:rFonts w:ascii="Calibri" w:hAnsi="Calibri"/>
              </w:rPr>
              <w:t xml:space="preserve"> </w:t>
            </w:r>
            <w:r w:rsidR="00D553C8" w:rsidRPr="00B96F50">
              <w:rPr>
                <w:rFonts w:ascii="Calibri" w:hAnsi="Calibri"/>
              </w:rPr>
              <w:t>procedures to</w:t>
            </w:r>
            <w:r w:rsidR="005210F1" w:rsidRPr="00B96F50">
              <w:rPr>
                <w:rFonts w:ascii="Calibri" w:hAnsi="Calibri"/>
              </w:rPr>
              <w:t xml:space="preserve"> have a</w:t>
            </w:r>
            <w:r w:rsidR="008B47A8" w:rsidRPr="00B96F50">
              <w:rPr>
                <w:rFonts w:ascii="Calibri" w:hAnsi="Calibri"/>
              </w:rPr>
              <w:t xml:space="preserve"> simultaneous assessment</w:t>
            </w:r>
            <w:r w:rsidR="005210F1" w:rsidRPr="00B96F50">
              <w:rPr>
                <w:rFonts w:ascii="Calibri" w:hAnsi="Calibri"/>
              </w:rPr>
              <w:t xml:space="preserve"> from these countries</w:t>
            </w:r>
            <w:r w:rsidR="008B47A8" w:rsidRPr="00B96F50">
              <w:rPr>
                <w:rFonts w:ascii="Calibri" w:hAnsi="Calibri"/>
              </w:rPr>
              <w:t xml:space="preserve">. Different countries would take the lead on different </w:t>
            </w:r>
            <w:r w:rsidR="0ADC6078" w:rsidRPr="7A963B96">
              <w:rPr>
                <w:rFonts w:ascii="Calibri" w:hAnsi="Calibri"/>
              </w:rPr>
              <w:t xml:space="preserve">modules </w:t>
            </w:r>
            <w:r w:rsidR="008B47A8" w:rsidRPr="00B96F50">
              <w:rPr>
                <w:rFonts w:ascii="Calibri" w:hAnsi="Calibri"/>
              </w:rPr>
              <w:t xml:space="preserve">of the dossier. </w:t>
            </w:r>
            <w:r w:rsidR="00C85A5D" w:rsidRPr="00B96F50">
              <w:rPr>
                <w:rFonts w:ascii="Calibri" w:hAnsi="Calibri"/>
              </w:rPr>
              <w:t>The difference with a c</w:t>
            </w:r>
            <w:r w:rsidR="008B47A8" w:rsidRPr="00B96F50">
              <w:rPr>
                <w:rFonts w:ascii="Calibri" w:hAnsi="Calibri"/>
              </w:rPr>
              <w:t>entrali</w:t>
            </w:r>
            <w:r w:rsidR="00AA37CA" w:rsidRPr="00B96F50">
              <w:rPr>
                <w:rFonts w:ascii="Calibri" w:hAnsi="Calibri"/>
              </w:rPr>
              <w:t>s</w:t>
            </w:r>
            <w:r w:rsidR="008B47A8" w:rsidRPr="00B96F50">
              <w:rPr>
                <w:rFonts w:ascii="Calibri" w:hAnsi="Calibri"/>
              </w:rPr>
              <w:t>ed EMA</w:t>
            </w:r>
            <w:r w:rsidR="00C85A5D" w:rsidRPr="00B96F50">
              <w:rPr>
                <w:rFonts w:ascii="Calibri" w:hAnsi="Calibri"/>
              </w:rPr>
              <w:t xml:space="preserve"> application</w:t>
            </w:r>
            <w:r w:rsidR="00B53FAE" w:rsidRPr="00B96F50">
              <w:rPr>
                <w:rFonts w:ascii="Calibri" w:hAnsi="Calibri"/>
              </w:rPr>
              <w:t xml:space="preserve"> is that</w:t>
            </w:r>
            <w:r w:rsidR="00C85A5D" w:rsidRPr="00B96F50">
              <w:rPr>
                <w:rFonts w:ascii="Calibri" w:hAnsi="Calibri"/>
              </w:rPr>
              <w:t xml:space="preserve"> </w:t>
            </w:r>
            <w:r w:rsidR="003505C9">
              <w:rPr>
                <w:rFonts w:ascii="Calibri" w:hAnsi="Calibri"/>
              </w:rPr>
              <w:t xml:space="preserve">in EMA </w:t>
            </w:r>
            <w:r w:rsidR="00C85A5D" w:rsidRPr="00B96F50">
              <w:rPr>
                <w:rFonts w:ascii="Calibri" w:hAnsi="Calibri"/>
              </w:rPr>
              <w:t xml:space="preserve">there is </w:t>
            </w:r>
            <w:r w:rsidR="008B47A8" w:rsidRPr="00B96F50">
              <w:rPr>
                <w:rFonts w:ascii="Calibri" w:hAnsi="Calibri"/>
              </w:rPr>
              <w:t xml:space="preserve">one </w:t>
            </w:r>
            <w:r w:rsidR="003505C9">
              <w:rPr>
                <w:rFonts w:ascii="Calibri" w:hAnsi="Calibri"/>
              </w:rPr>
              <w:t xml:space="preserve">common </w:t>
            </w:r>
            <w:r w:rsidR="008B47A8" w:rsidRPr="00B96F50">
              <w:rPr>
                <w:rFonts w:ascii="Calibri" w:hAnsi="Calibri"/>
              </w:rPr>
              <w:t>vote at the end</w:t>
            </w:r>
            <w:r w:rsidR="00D553C8" w:rsidRPr="00B96F50">
              <w:rPr>
                <w:rFonts w:ascii="Calibri" w:hAnsi="Calibri"/>
              </w:rPr>
              <w:t xml:space="preserve"> whereas with the</w:t>
            </w:r>
            <w:r w:rsidR="008B47A8" w:rsidRPr="00B96F50">
              <w:rPr>
                <w:rFonts w:ascii="Calibri" w:hAnsi="Calibri"/>
              </w:rPr>
              <w:t xml:space="preserve"> </w:t>
            </w:r>
            <w:r w:rsidR="003505C9">
              <w:rPr>
                <w:rFonts w:ascii="Calibri" w:hAnsi="Calibri"/>
              </w:rPr>
              <w:t>A</w:t>
            </w:r>
            <w:r w:rsidR="003505C9" w:rsidRPr="00B96F50">
              <w:rPr>
                <w:rFonts w:ascii="Calibri" w:hAnsi="Calibri"/>
              </w:rPr>
              <w:t xml:space="preserve">ccess </w:t>
            </w:r>
            <w:r w:rsidR="00D553C8" w:rsidRPr="00B96F50">
              <w:rPr>
                <w:rFonts w:ascii="Calibri" w:hAnsi="Calibri"/>
              </w:rPr>
              <w:t xml:space="preserve">consortium, </w:t>
            </w:r>
            <w:r w:rsidR="008B47A8" w:rsidRPr="00B96F50">
              <w:rPr>
                <w:rFonts w:ascii="Calibri" w:hAnsi="Calibri"/>
              </w:rPr>
              <w:t>each country can make their own decision.</w:t>
            </w:r>
          </w:p>
        </w:tc>
      </w:tr>
      <w:tr w:rsidR="00B23F59" w:rsidRPr="00B96F50" w14:paraId="645E9C03" w14:textId="77777777" w:rsidTr="4B5A7C9D">
        <w:tc>
          <w:tcPr>
            <w:tcW w:w="1851" w:type="dxa"/>
          </w:tcPr>
          <w:p w14:paraId="0D974302" w14:textId="0C2AA3EF" w:rsidR="003F70F1" w:rsidRPr="00B96F50" w:rsidRDefault="003F70F1" w:rsidP="003F70F1">
            <w:pPr>
              <w:rPr>
                <w:rFonts w:ascii="Calibri" w:hAnsi="Calibri"/>
                <w:b/>
                <w:bCs/>
              </w:rPr>
            </w:pPr>
            <w:r w:rsidRPr="00B96F50">
              <w:rPr>
                <w:rFonts w:ascii="Calibri" w:hAnsi="Calibri"/>
                <w:b/>
                <w:bCs/>
              </w:rPr>
              <w:lastRenderedPageBreak/>
              <w:t xml:space="preserve">Bayesian statistics and inference in confirmatory trials, </w:t>
            </w:r>
            <w:r w:rsidR="00795E2B" w:rsidRPr="00B96F50">
              <w:rPr>
                <w:rFonts w:ascii="Calibri" w:hAnsi="Calibri"/>
                <w:b/>
                <w:bCs/>
              </w:rPr>
              <w:t>including for</w:t>
            </w:r>
            <w:r w:rsidRPr="00B96F50">
              <w:rPr>
                <w:rFonts w:ascii="Calibri" w:hAnsi="Calibri"/>
                <w:b/>
                <w:bCs/>
              </w:rPr>
              <w:t xml:space="preserve"> non-rare diseases and beyond paediatric trials </w:t>
            </w:r>
          </w:p>
          <w:p w14:paraId="4197DA7C" w14:textId="77777777" w:rsidR="00B23F59" w:rsidRPr="00B96F50" w:rsidRDefault="00B23F59" w:rsidP="00B23F59">
            <w:pPr>
              <w:rPr>
                <w:rFonts w:ascii="Calibri" w:hAnsi="Calibri"/>
                <w:b/>
                <w:bCs/>
              </w:rPr>
            </w:pPr>
          </w:p>
        </w:tc>
        <w:tc>
          <w:tcPr>
            <w:tcW w:w="7211" w:type="dxa"/>
          </w:tcPr>
          <w:p w14:paraId="3BA1615B" w14:textId="77777777" w:rsidR="00BD741D" w:rsidRPr="00B96F50" w:rsidRDefault="00BD741D" w:rsidP="00BD741D">
            <w:pPr>
              <w:rPr>
                <w:i/>
                <w:iCs/>
              </w:rPr>
            </w:pPr>
            <w:r w:rsidRPr="00B96F50">
              <w:rPr>
                <w:i/>
                <w:iCs/>
              </w:rPr>
              <w:t xml:space="preserve">Bayesian clinical trial designs and analyses have received a lot of attention recently by industry, regulators and academia, and several regulatory agencies, including FDA, EMA and CDE, are planning to develop guidance documents on Bayesian methods in 2025. </w:t>
            </w:r>
          </w:p>
          <w:p w14:paraId="3920B2B5" w14:textId="77777777" w:rsidR="00BD741D" w:rsidRPr="00B96F50" w:rsidRDefault="00BD741D" w:rsidP="00BD741D">
            <w:pPr>
              <w:rPr>
                <w:i/>
                <w:iCs/>
              </w:rPr>
            </w:pPr>
          </w:p>
          <w:p w14:paraId="36748AA5" w14:textId="189097FB" w:rsidR="00BD741D" w:rsidRPr="00B96F50" w:rsidRDefault="00BD741D" w:rsidP="00BD741D">
            <w:pPr>
              <w:rPr>
                <w:i/>
                <w:iCs/>
              </w:rPr>
            </w:pPr>
            <w:r w:rsidRPr="00B96F50">
              <w:rPr>
                <w:i/>
                <w:iCs/>
              </w:rPr>
              <w:t>Bayesian inference can be used with weak or non-informative priors (in which case, such designs are often calibrated to control frequentist type 1 error) or using informative priors to enable formal inclusion of relevant external information in the analysis of a clinical trial. Such designs may allow efficient trial conduct in small patient populations such as paediatrics and rare diseases and there are a growing number of examples of Bayesian methods being accepted by regulators in such settings. Bayesian designs, particularly those leveraging informative prior information, can also benefit patients in settings beyond rare diseases and paediatric trials, by minim</w:t>
            </w:r>
            <w:r w:rsidR="00A13C48" w:rsidRPr="00B96F50">
              <w:rPr>
                <w:i/>
                <w:iCs/>
              </w:rPr>
              <w:t>is</w:t>
            </w:r>
            <w:r w:rsidRPr="00B96F50">
              <w:rPr>
                <w:i/>
                <w:iCs/>
              </w:rPr>
              <w:t>ing human exposure to investigational products, reducing the need for a placebo arm, and allowing for earlier assessment of treatment effects, which can be particularly advantageous in the context of disease areas where treatment options are limited.</w:t>
            </w:r>
          </w:p>
          <w:p w14:paraId="1545ED0F" w14:textId="77777777" w:rsidR="00B23F59" w:rsidRPr="00B96F50" w:rsidRDefault="00B23F59" w:rsidP="00B23F59">
            <w:pPr>
              <w:rPr>
                <w:rFonts w:ascii="Calibri" w:hAnsi="Calibri"/>
                <w:i/>
                <w:iCs/>
              </w:rPr>
            </w:pPr>
          </w:p>
          <w:p w14:paraId="36A41A3D" w14:textId="792BCBC8" w:rsidR="00D545B3" w:rsidRPr="00B96F50" w:rsidRDefault="00D545B3" w:rsidP="00D545B3">
            <w:r w:rsidRPr="00B96F50">
              <w:t>Questions for MHRA:</w:t>
            </w:r>
          </w:p>
          <w:p w14:paraId="508F5C11" w14:textId="77777777" w:rsidR="00D545B3" w:rsidRPr="00B96F50" w:rsidRDefault="00D545B3" w:rsidP="00D545B3">
            <w:pPr>
              <w:pStyle w:val="ListParagraph"/>
              <w:numPr>
                <w:ilvl w:val="0"/>
                <w:numId w:val="20"/>
              </w:numPr>
              <w:rPr>
                <w:i/>
                <w:iCs/>
              </w:rPr>
            </w:pPr>
            <w:r w:rsidRPr="00B96F50">
              <w:rPr>
                <w:i/>
                <w:iCs/>
              </w:rPr>
              <w:t xml:space="preserve">What type of arguments, whether statistical or clinical, is the MRHA looking for in the protocol or the SAP for justifying the use of Bayesian statistics for inference in confirmatory trials? </w:t>
            </w:r>
          </w:p>
          <w:p w14:paraId="26CBE413" w14:textId="2035A534" w:rsidR="00D545B3" w:rsidRPr="00B96F50" w:rsidRDefault="00D545B3" w:rsidP="00D545B3">
            <w:pPr>
              <w:pStyle w:val="ListParagraph"/>
              <w:numPr>
                <w:ilvl w:val="1"/>
                <w:numId w:val="20"/>
              </w:numPr>
              <w:rPr>
                <w:i/>
                <w:iCs/>
              </w:rPr>
            </w:pPr>
            <w:r w:rsidRPr="00B96F50">
              <w:rPr>
                <w:i/>
                <w:iCs/>
              </w:rPr>
              <w:t>Guidance on the role of Bayesian methods for borrowing / integrated evidence / meta-analysis / shrinkage estimation in a confirmatory setting would be highly welcome</w:t>
            </w:r>
          </w:p>
          <w:p w14:paraId="76F975F4" w14:textId="77777777" w:rsidR="00D545B3" w:rsidRPr="00B96F50" w:rsidRDefault="00D545B3" w:rsidP="00D545B3">
            <w:pPr>
              <w:pStyle w:val="ListParagraph"/>
              <w:numPr>
                <w:ilvl w:val="1"/>
                <w:numId w:val="20"/>
              </w:numPr>
              <w:rPr>
                <w:i/>
                <w:iCs/>
              </w:rPr>
            </w:pPr>
            <w:r w:rsidRPr="00B96F50">
              <w:rPr>
                <w:i/>
                <w:iCs/>
              </w:rPr>
              <w:t>Are there additional MHRA considerations when reviewing such proposals for settings beyond rare diseases and paediatrics?</w:t>
            </w:r>
          </w:p>
          <w:p w14:paraId="48C93874" w14:textId="77777777" w:rsidR="00334C65" w:rsidRPr="00B96F50" w:rsidRDefault="00334C65" w:rsidP="006D25D9"/>
          <w:p w14:paraId="3F13E1F6" w14:textId="78D05E8C" w:rsidR="007A1B7F" w:rsidRPr="00B96F50" w:rsidRDefault="003A5139" w:rsidP="006D25D9">
            <w:r>
              <w:t>MHRA Team</w:t>
            </w:r>
            <w:r w:rsidR="00334C65" w:rsidRPr="00B96F50">
              <w:t xml:space="preserve"> noted that, as discussed at the start of the meeting, MHRA statisticians may not be able to provide detailed answers to all questions but are willing to share some thoughts on the topic.</w:t>
            </w:r>
          </w:p>
          <w:p w14:paraId="427B8218" w14:textId="77777777" w:rsidR="00334C65" w:rsidRPr="00B96F50" w:rsidRDefault="00334C65" w:rsidP="006D25D9"/>
          <w:p w14:paraId="72E46D19" w14:textId="01E4DF5B" w:rsidR="001D723C" w:rsidRDefault="001D723C" w:rsidP="00DC3620">
            <w:r w:rsidRPr="001D723C">
              <w:t>As noted in ICH E9 the use of Bayesian methods may</w:t>
            </w:r>
            <w:r w:rsidR="0047332B">
              <w:t xml:space="preserve"> </w:t>
            </w:r>
            <w:r w:rsidRPr="001D723C">
              <w:t>be considered when the reasons for their use are clear and when the resulting conclusions are sufficiently robust.</w:t>
            </w:r>
            <w:r w:rsidR="004136F1">
              <w:t xml:space="preserve"> </w:t>
            </w:r>
            <w:r w:rsidR="007E57C0">
              <w:t>In general, t</w:t>
            </w:r>
            <w:r w:rsidR="004136F1" w:rsidRPr="004136F1">
              <w:t>he MHRA expectations for trial operating characteristics for a Bayesian trial are the same as for a trial that does not employ a Bayesian design, e.g. the decision criteria should be chosen such that the type I error probability for the null hypothesis of no effect on the primary endpoint is appropriately controlled. It seems unlikely that an analysis using an informative prior can fulfil this requirement.  For a trial using a Bayesian design</w:t>
            </w:r>
            <w:r w:rsidR="00C9740D">
              <w:t>,</w:t>
            </w:r>
            <w:r w:rsidR="004136F1" w:rsidRPr="004136F1">
              <w:t xml:space="preserve"> comprehensive simulations will be required to </w:t>
            </w:r>
            <w:r w:rsidR="004136F1" w:rsidRPr="004136F1">
              <w:lastRenderedPageBreak/>
              <w:t>demonstrate type I error control, which will complicate the application and the assessment. There should be consideration of whether this increased complexity is sufficiently compensated for by any advantages. It should also be noted that even if a Bayesian approach is employed</w:t>
            </w:r>
            <w:r w:rsidR="00E90C2B">
              <w:t>,</w:t>
            </w:r>
            <w:r w:rsidR="004136F1" w:rsidRPr="004136F1">
              <w:t xml:space="preserve"> it would be expected that point estimates and confidence intervals for the treatment effect based only on the trial data are presented, along with associated p-values.</w:t>
            </w:r>
          </w:p>
          <w:p w14:paraId="7181A6D8" w14:textId="77777777" w:rsidR="001D723C" w:rsidRDefault="001D723C" w:rsidP="00DC3620"/>
          <w:p w14:paraId="1D660E77" w14:textId="2214ACF7" w:rsidR="00DC3620" w:rsidRPr="00B96F50" w:rsidRDefault="00D0342E" w:rsidP="00DC3620">
            <w:r>
              <w:t>MHRA Team</w:t>
            </w:r>
            <w:r w:rsidR="00DC3620" w:rsidRPr="00B96F50">
              <w:t xml:space="preserve"> noted their experience with these approaches, particularly for futility analyses. Due to the lack of current regulatory guidance on Bayesian methods, the acceptability of Bayesian design is still considered on a case-by-case basis.</w:t>
            </w:r>
          </w:p>
          <w:p w14:paraId="291DB6CE" w14:textId="4791C81B" w:rsidR="00B86883" w:rsidRDefault="00B86883" w:rsidP="002371A5">
            <w:r>
              <w:t>W</w:t>
            </w:r>
            <w:r w:rsidR="00DC3620" w:rsidRPr="00B96F50">
              <w:t>hen evaluating the totality of evidence through a Frequentist perspective, each trial's results are considered independently. A key concern with Bayesian methods is the potential for double</w:t>
            </w:r>
            <w:r w:rsidR="00A367F0">
              <w:t xml:space="preserve"> </w:t>
            </w:r>
            <w:r w:rsidR="00DC3620" w:rsidRPr="00B96F50">
              <w:t>counting</w:t>
            </w:r>
            <w:r>
              <w:t xml:space="preserve"> of</w:t>
            </w:r>
            <w:r w:rsidR="00DC3620" w:rsidRPr="00B96F50">
              <w:t xml:space="preserve"> prior information</w:t>
            </w:r>
            <w:r>
              <w:t>, i.e. in situations where the same prior information would support inference in multiple trials</w:t>
            </w:r>
            <w:r w:rsidR="007E77E4">
              <w:t xml:space="preserve">, or </w:t>
            </w:r>
            <w:r w:rsidR="00270DBE">
              <w:t xml:space="preserve">if </w:t>
            </w:r>
            <w:r w:rsidR="00AF550F">
              <w:t xml:space="preserve">reviewers </w:t>
            </w:r>
            <w:r w:rsidR="00255C13">
              <w:t>consider</w:t>
            </w:r>
            <w:r w:rsidR="00AF550F">
              <w:t xml:space="preserve"> </w:t>
            </w:r>
            <w:r w:rsidR="005826EA">
              <w:t xml:space="preserve">their </w:t>
            </w:r>
            <w:r w:rsidR="00270DBE">
              <w:t>own prior knowledge</w:t>
            </w:r>
            <w:r w:rsidR="005826EA">
              <w:t xml:space="preserve"> when interpreting </w:t>
            </w:r>
            <w:r w:rsidR="007340BC">
              <w:t xml:space="preserve">the overall evidence </w:t>
            </w:r>
            <w:r w:rsidR="00E971ED">
              <w:t>which includes</w:t>
            </w:r>
            <w:r w:rsidR="00492785">
              <w:t xml:space="preserve"> a </w:t>
            </w:r>
            <w:r w:rsidR="007E77E4">
              <w:t>posterior probabilit</w:t>
            </w:r>
            <w:r w:rsidR="00492785">
              <w:t>y</w:t>
            </w:r>
            <w:r w:rsidR="00E971ED">
              <w:t xml:space="preserve"> already incorporating the prior knowledge</w:t>
            </w:r>
            <w:r w:rsidR="00DC3620" w:rsidRPr="00B96F50">
              <w:t xml:space="preserve">. </w:t>
            </w:r>
          </w:p>
          <w:p w14:paraId="208FE475" w14:textId="21196027" w:rsidR="00DC3620" w:rsidRPr="00B96F50" w:rsidRDefault="00D3665F" w:rsidP="002371A5">
            <w:r>
              <w:t>T</w:t>
            </w:r>
            <w:r w:rsidR="00DC3620" w:rsidRPr="00B96F50">
              <w:t xml:space="preserve">here is also a concern about potential time trends and biases that could be introduced when </w:t>
            </w:r>
            <w:r w:rsidR="005C0F2E" w:rsidRPr="00B96F50">
              <w:t>using</w:t>
            </w:r>
            <w:r w:rsidR="00DC3620" w:rsidRPr="00B96F50">
              <w:t xml:space="preserve"> prior data. When using historical datasets, it is essential to assess the data heterogeneity due to possible time trends. </w:t>
            </w:r>
          </w:p>
          <w:p w14:paraId="379F4612" w14:textId="65C2180F" w:rsidR="00E06896" w:rsidRPr="00B96F50" w:rsidRDefault="00E06896" w:rsidP="00E06896">
            <w:r w:rsidRPr="00B96F50">
              <w:t xml:space="preserve">Additionally, </w:t>
            </w:r>
            <w:r w:rsidR="00B86883">
              <w:t xml:space="preserve">assessing the assumption of exchangeability is challenging in situations with small sample sizes. As an implication, any reduction in sample size motivated by use of prior information could </w:t>
            </w:r>
            <w:r w:rsidR="00255C13">
              <w:t>conflict with</w:t>
            </w:r>
            <w:r w:rsidR="00B86883">
              <w:t xml:space="preserve"> the assessment of exchangeability</w:t>
            </w:r>
            <w:r w:rsidRPr="00B96F50">
              <w:t xml:space="preserve">. </w:t>
            </w:r>
          </w:p>
          <w:p w14:paraId="78FF1E26" w14:textId="6081900A" w:rsidR="00376B71" w:rsidRPr="00B96F50" w:rsidRDefault="00E77F4F" w:rsidP="00376B71">
            <w:r w:rsidRPr="00B96F50">
              <w:t>With regards to data b</w:t>
            </w:r>
            <w:r w:rsidR="006D25D9" w:rsidRPr="00B96F50">
              <w:t>orrowing</w:t>
            </w:r>
            <w:r w:rsidRPr="00B96F50">
              <w:t xml:space="preserve">, there should be an adequate </w:t>
            </w:r>
            <w:r w:rsidR="00376B71" w:rsidRPr="00B96F50">
              <w:t>number</w:t>
            </w:r>
            <w:r w:rsidRPr="00B96F50">
              <w:t xml:space="preserve"> of trials to support benefit-risk assessment.</w:t>
            </w:r>
            <w:r w:rsidR="003C6459" w:rsidRPr="00B96F50">
              <w:t xml:space="preserve"> </w:t>
            </w:r>
            <w:r w:rsidR="00376B71" w:rsidRPr="00B96F50">
              <w:t xml:space="preserve">Understanding the </w:t>
            </w:r>
            <w:r w:rsidRPr="00B96F50">
              <w:t>impact of</w:t>
            </w:r>
            <w:r w:rsidR="006D25D9" w:rsidRPr="00B96F50">
              <w:t xml:space="preserve"> dynamic borrowing on </w:t>
            </w:r>
            <w:r w:rsidRPr="00B96F50">
              <w:t>posterior results</w:t>
            </w:r>
            <w:r w:rsidR="00376B71" w:rsidRPr="00B96F50">
              <w:t xml:space="preserve"> is also important</w:t>
            </w:r>
            <w:r w:rsidRPr="00B96F50">
              <w:t xml:space="preserve">, </w:t>
            </w:r>
            <w:r w:rsidR="003C6459" w:rsidRPr="00B96F50">
              <w:t xml:space="preserve">as this may introduce </w:t>
            </w:r>
            <w:r w:rsidR="00865501" w:rsidRPr="00B96F50">
              <w:t>t</w:t>
            </w:r>
            <w:r w:rsidR="003C6459" w:rsidRPr="00B96F50">
              <w:t>ype I error increases and potential biases</w:t>
            </w:r>
            <w:r w:rsidR="00376B71" w:rsidRPr="00B96F50">
              <w:t>.</w:t>
            </w:r>
            <w:r w:rsidR="003C6459" w:rsidRPr="00B96F50">
              <w:t xml:space="preserve"> </w:t>
            </w:r>
            <w:r w:rsidR="00376B71" w:rsidRPr="00B96F50">
              <w:t xml:space="preserve">The posterior distribution can </w:t>
            </w:r>
            <w:r w:rsidR="003C6459" w:rsidRPr="00B96F50">
              <w:t xml:space="preserve">sometimes </w:t>
            </w:r>
            <w:r w:rsidR="00376B71" w:rsidRPr="00B96F50">
              <w:t>be highly sensitive to the choice of prior distribution, making it essential to provide a clear, clinically and statistically justified rationale for this choice. A simple mention of the prior is insufficient; sensitivity analyses should confirm the robustness of models across different prior choices.</w:t>
            </w:r>
          </w:p>
          <w:p w14:paraId="1EA49FDF" w14:textId="184D6BF1" w:rsidR="00030777" w:rsidRPr="00B96F50" w:rsidRDefault="00030777" w:rsidP="00030777">
            <w:r w:rsidRPr="00B96F50">
              <w:t>Another consideration is the decision rule and its threshold, as the posterior distribution relies solely on the data and prior distribution, while the decision rule depends on additional factors such as this decision threshold and associated risk of incorrect decisions.</w:t>
            </w:r>
          </w:p>
          <w:p w14:paraId="1F6CBC76" w14:textId="0807D7BE" w:rsidR="005C0F2E" w:rsidRPr="00B96F50" w:rsidRDefault="005C0F2E" w:rsidP="00030777">
            <w:r w:rsidRPr="00B96F50">
              <w:t xml:space="preserve">The ICH E20 guideline on adaptive designs is currently being developed and </w:t>
            </w:r>
            <w:r w:rsidR="42CC143F">
              <w:t>may</w:t>
            </w:r>
            <w:r w:rsidRPr="00B96F50">
              <w:t xml:space="preserve"> include a section on Bayesian adaptive designs. Additionally, the ILAP framework offers a specialised tool for innovative trial designs, which may be relevant to this topic.</w:t>
            </w:r>
          </w:p>
          <w:p w14:paraId="3F721331" w14:textId="77777777" w:rsidR="005C0F2E" w:rsidRPr="00B96F50" w:rsidRDefault="005C0F2E" w:rsidP="00030777"/>
          <w:p w14:paraId="19D0330B" w14:textId="4AA6454F" w:rsidR="007A5547" w:rsidRPr="00B96F50" w:rsidRDefault="007A5547" w:rsidP="007A5547">
            <w:r w:rsidRPr="00B96F50">
              <w:t xml:space="preserve">As regards the first question, </w:t>
            </w:r>
            <w:r w:rsidR="00D0342E">
              <w:t>EFSPI</w:t>
            </w:r>
            <w:r w:rsidRPr="00B96F50">
              <w:t xml:space="preserve"> asked whether the MHRA has any examples or applications where Bayesian methods were used for borrowing external information, shrinkage estimation (e.g. for subgroups), or meta-analysis, and if there are situations where data exchangeability might be less of a concern. </w:t>
            </w:r>
          </w:p>
          <w:p w14:paraId="50F65E61" w14:textId="77777777" w:rsidR="007A5547" w:rsidRPr="00B96F50" w:rsidRDefault="007A5547" w:rsidP="007A5547"/>
          <w:p w14:paraId="1EA800FC" w14:textId="53701A4F" w:rsidR="00297AA8" w:rsidRPr="00B96F50" w:rsidRDefault="00D0342E" w:rsidP="006D25D9">
            <w:r>
              <w:t>MHRA Team</w:t>
            </w:r>
            <w:r w:rsidR="00495CD7" w:rsidRPr="00B96F50">
              <w:t xml:space="preserve"> responded that, while they may not have extensive </w:t>
            </w:r>
            <w:r w:rsidR="0066135C">
              <w:t>experience</w:t>
            </w:r>
            <w:r w:rsidR="0066135C" w:rsidRPr="00B96F50">
              <w:t xml:space="preserve"> </w:t>
            </w:r>
            <w:r w:rsidR="00495CD7" w:rsidRPr="00B96F50">
              <w:t xml:space="preserve">in this area, they have encountered relevant cases. </w:t>
            </w:r>
            <w:r>
              <w:t>MHRA Team</w:t>
            </w:r>
            <w:r w:rsidR="00495CD7" w:rsidRPr="00B96F50">
              <w:t xml:space="preserve"> emphasised the previous point about the risk of </w:t>
            </w:r>
            <w:r w:rsidR="00694F38" w:rsidRPr="00B96F50">
              <w:t>double</w:t>
            </w:r>
            <w:r w:rsidR="00B96F50">
              <w:t xml:space="preserve"> </w:t>
            </w:r>
            <w:r w:rsidR="00694F38" w:rsidRPr="00B96F50">
              <w:t>counting</w:t>
            </w:r>
            <w:r w:rsidR="00495CD7" w:rsidRPr="00B96F50">
              <w:t xml:space="preserve">. </w:t>
            </w:r>
            <w:r w:rsidR="007A1B7F">
              <w:t>MHRA Team</w:t>
            </w:r>
            <w:r w:rsidR="00495CD7" w:rsidRPr="00B96F50">
              <w:t xml:space="preserve"> noted that the definition of a trial sometimes needs to be reconsidered</w:t>
            </w:r>
            <w:r w:rsidR="00473EDE">
              <w:t>.</w:t>
            </w:r>
            <w:r w:rsidR="00495CD7" w:rsidRPr="00B96F50">
              <w:t xml:space="preserve"> </w:t>
            </w:r>
            <w:r w:rsidR="00473EDE">
              <w:t>W</w:t>
            </w:r>
            <w:r w:rsidR="00495CD7" w:rsidRPr="00B96F50">
              <w:t xml:space="preserve">hen external </w:t>
            </w:r>
            <w:r w:rsidR="00495CD7" w:rsidRPr="00B96F50">
              <w:lastRenderedPageBreak/>
              <w:t xml:space="preserve">data is incorporated into a prior and combined with trial data to derive a posterior probability, this represents a summary of the entire knowledge, rather than insights gained solely from the trial itself. Therefore, careful interpretation is required. </w:t>
            </w:r>
            <w:r>
              <w:t>MHRA Team</w:t>
            </w:r>
            <w:r w:rsidR="00495CD7" w:rsidRPr="00B96F50">
              <w:t xml:space="preserve"> advised either keeping these sources of information separate or ensuring a thorough understanding of the process.</w:t>
            </w:r>
            <w:r w:rsidR="00297AA8" w:rsidRPr="00B96F50">
              <w:t xml:space="preserve"> While it may be mathematically appealing to consolidate everything into a single figure, sometimes it is better to discuss </w:t>
            </w:r>
            <w:r w:rsidR="60848532">
              <w:t xml:space="preserve">the </w:t>
            </w:r>
            <w:r w:rsidR="00297AA8" w:rsidRPr="00B96F50">
              <w:t>multiple sources independently.</w:t>
            </w:r>
          </w:p>
          <w:p w14:paraId="31FD9568" w14:textId="77777777" w:rsidR="00297AA8" w:rsidRPr="00B96F50" w:rsidRDefault="00297AA8" w:rsidP="006D25D9"/>
          <w:p w14:paraId="7D983E7B" w14:textId="17116C84" w:rsidR="00F206D1" w:rsidRPr="00B96F50" w:rsidRDefault="00D0342E" w:rsidP="00F206D1">
            <w:r>
              <w:t>EFSPI</w:t>
            </w:r>
            <w:r w:rsidR="00F206D1" w:rsidRPr="00B96F50">
              <w:t xml:space="preserve"> mentioned that it</w:t>
            </w:r>
            <w:r w:rsidR="008B5CA3" w:rsidRPr="00B96F50">
              <w:t xml:space="preserve"> i</w:t>
            </w:r>
            <w:r w:rsidR="00F206D1" w:rsidRPr="00B96F50">
              <w:t xml:space="preserve">s helpful to consider how to present trial results. </w:t>
            </w:r>
            <w:r w:rsidR="007063A9">
              <w:t>EFSPI</w:t>
            </w:r>
            <w:r w:rsidR="00F206D1" w:rsidRPr="00B96F50">
              <w:t xml:space="preserve"> further asked if there would be value in having a formal discussion on designing a trial with the intention of incorporating new external information from the start. The goal would be to understand the evidence generated by the trial itself without relying on a post hoc supplementary evidence synthesis.</w:t>
            </w:r>
          </w:p>
          <w:p w14:paraId="0332E0BE" w14:textId="77777777" w:rsidR="00042DF2" w:rsidRPr="00B96F50" w:rsidRDefault="00042DF2" w:rsidP="00042DF2"/>
          <w:p w14:paraId="1CEFA3B5" w14:textId="083D97ED" w:rsidR="00042DF2" w:rsidRPr="00B96F50" w:rsidRDefault="00D0342E" w:rsidP="00042DF2">
            <w:r>
              <w:t>MHRA Team</w:t>
            </w:r>
            <w:r w:rsidR="00042DF2" w:rsidRPr="00042DF2">
              <w:t xml:space="preserve"> emphas</w:t>
            </w:r>
            <w:r w:rsidR="00A13C48" w:rsidRPr="00B96F50">
              <w:t>is</w:t>
            </w:r>
            <w:r w:rsidR="00042DF2" w:rsidRPr="00042DF2">
              <w:t xml:space="preserve">ed that this </w:t>
            </w:r>
            <w:r w:rsidR="00042DF2" w:rsidRPr="00B96F50">
              <w:t xml:space="preserve">point </w:t>
            </w:r>
            <w:r w:rsidR="00042DF2" w:rsidRPr="00042DF2">
              <w:t xml:space="preserve">should be addressed on a case-by-case basis, focusing on key considerations such as </w:t>
            </w:r>
            <w:r w:rsidR="00865501" w:rsidRPr="00B96F50">
              <w:t>t</w:t>
            </w:r>
            <w:r w:rsidR="00042DF2" w:rsidRPr="00042DF2">
              <w:t xml:space="preserve">ype I error when using an informative prior. In such cases, </w:t>
            </w:r>
            <w:r w:rsidR="00865501" w:rsidRPr="00B96F50">
              <w:t>t</w:t>
            </w:r>
            <w:r w:rsidR="00042DF2" w:rsidRPr="00042DF2">
              <w:t>ype I error calculations may need to be conducted through simulations.</w:t>
            </w:r>
            <w:r w:rsidR="00042DF2" w:rsidRPr="00B96F50">
              <w:t xml:space="preserve"> </w:t>
            </w:r>
          </w:p>
          <w:p w14:paraId="01B3CD2B" w14:textId="77777777" w:rsidR="00042DF2" w:rsidRPr="00B96F50" w:rsidRDefault="00042DF2" w:rsidP="00042DF2"/>
          <w:p w14:paraId="06D9EA1C" w14:textId="164289FF" w:rsidR="00BB1BAC" w:rsidRPr="00BB1BAC" w:rsidRDefault="00BB1BAC" w:rsidP="00BB1BAC">
            <w:r w:rsidRPr="00BB1BAC">
              <w:t xml:space="preserve">While Bayesian methods are </w:t>
            </w:r>
            <w:r w:rsidR="000D7368">
              <w:t>the</w:t>
            </w:r>
            <w:r w:rsidRPr="00BB1BAC">
              <w:t xml:space="preserve"> focus</w:t>
            </w:r>
            <w:r w:rsidR="000D7368">
              <w:t xml:space="preserve"> of the question</w:t>
            </w:r>
            <w:r w:rsidRPr="00BB1BAC">
              <w:t xml:space="preserve">, </w:t>
            </w:r>
            <w:r w:rsidR="00D0342E">
              <w:t>MHRA Team</w:t>
            </w:r>
            <w:r w:rsidRPr="00BB1BAC">
              <w:t xml:space="preserve"> pointed out that other approaches, including Frequentist methods, could also be used to incorporate external data, such as external control arms. </w:t>
            </w:r>
            <w:r w:rsidR="006A5587" w:rsidRPr="006A5587">
              <w:t>Evaluation of the same evidence should lead to</w:t>
            </w:r>
            <w:r w:rsidR="00EC21C1">
              <w:t xml:space="preserve"> </w:t>
            </w:r>
            <w:r w:rsidR="006A5587" w:rsidRPr="006A5587">
              <w:t>the same conclusions regardless of the method applied</w:t>
            </w:r>
            <w:r w:rsidR="00AC02B4">
              <w:t xml:space="preserve"> (if the methods are appropriate)</w:t>
            </w:r>
            <w:r w:rsidR="006A5587" w:rsidRPr="006A5587">
              <w:t>.</w:t>
            </w:r>
            <w:r w:rsidR="006A5587">
              <w:t xml:space="preserve"> </w:t>
            </w:r>
            <w:r w:rsidRPr="00BB1BAC">
              <w:t xml:space="preserve">The central question, regardless of methodology, </w:t>
            </w:r>
            <w:r w:rsidR="006F72D2">
              <w:t xml:space="preserve">when </w:t>
            </w:r>
            <w:r w:rsidR="00CC1CC1">
              <w:t>using external control</w:t>
            </w:r>
            <w:r w:rsidR="003D7EA4">
              <w:t>s</w:t>
            </w:r>
            <w:r w:rsidR="006F72D2">
              <w:t xml:space="preserve"> </w:t>
            </w:r>
            <w:r w:rsidRPr="00BB1BAC">
              <w:t xml:space="preserve">is the level of confidence in the quality </w:t>
            </w:r>
            <w:r w:rsidR="2FFBE203">
              <w:t>and relevance</w:t>
            </w:r>
            <w:r>
              <w:t xml:space="preserve"> </w:t>
            </w:r>
            <w:r w:rsidRPr="00BB1BAC">
              <w:t xml:space="preserve">of the external control data. </w:t>
            </w:r>
            <w:r w:rsidR="00D0342E">
              <w:t>MHRA Team</w:t>
            </w:r>
            <w:r w:rsidRPr="00BB1BAC">
              <w:t xml:space="preserve"> highlighted that when a company aims to gain efficiency, for example, by reducing the number of patients exposed to placebo, the first consideration should be the </w:t>
            </w:r>
            <w:r w:rsidRPr="00B96F50">
              <w:t xml:space="preserve">quality </w:t>
            </w:r>
            <w:r w:rsidR="3B653C08">
              <w:t xml:space="preserve">and relevance </w:t>
            </w:r>
            <w:r w:rsidRPr="00BB1BAC">
              <w:t xml:space="preserve">of the external data. Once the acceptability of the data is established, the choice of methodology can follow. In principle, Bayesian methods are acceptable </w:t>
            </w:r>
            <w:proofErr w:type="gramStart"/>
            <w:r w:rsidRPr="00BB1BAC">
              <w:t>as long as</w:t>
            </w:r>
            <w:proofErr w:type="gramEnd"/>
            <w:r w:rsidRPr="00BB1BAC">
              <w:t xml:space="preserve"> their properties, such as </w:t>
            </w:r>
            <w:r w:rsidR="00865501" w:rsidRPr="00B96F50">
              <w:t>t</w:t>
            </w:r>
            <w:r w:rsidRPr="00BB1BAC">
              <w:t xml:space="preserve">ype I error control, can be justified—typically demonstrated through simulations. However, </w:t>
            </w:r>
            <w:r w:rsidR="00D0342E">
              <w:t>MHRA Team</w:t>
            </w:r>
            <w:r w:rsidRPr="00BB1BAC">
              <w:t xml:space="preserve"> </w:t>
            </w:r>
            <w:r w:rsidR="34EC1DB4">
              <w:t>emphasised the importance of providing</w:t>
            </w:r>
            <w:r w:rsidR="21BEEA02">
              <w:t xml:space="preserve"> a clear</w:t>
            </w:r>
            <w:r w:rsidRPr="00BB1BAC">
              <w:t xml:space="preserve"> rationale for choosing Bayesian methods </w:t>
            </w:r>
            <w:r w:rsidR="64D912E6">
              <w:t xml:space="preserve">as </w:t>
            </w:r>
            <w:r w:rsidRPr="00BB1BAC">
              <w:t xml:space="preserve">in some cases, </w:t>
            </w:r>
            <w:r w:rsidR="2E93D526">
              <w:t xml:space="preserve">these </w:t>
            </w:r>
            <w:r w:rsidR="002A6D82">
              <w:t xml:space="preserve">methods </w:t>
            </w:r>
            <w:r w:rsidR="002A6D82" w:rsidRPr="00BB1BAC">
              <w:t>may</w:t>
            </w:r>
            <w:r w:rsidR="34BFC9ED">
              <w:t xml:space="preserve"> </w:t>
            </w:r>
            <w:r w:rsidRPr="00BB1BAC">
              <w:t>add unnecessary complexity</w:t>
            </w:r>
            <w:r w:rsidR="0992E7BA">
              <w:t xml:space="preserve"> without</w:t>
            </w:r>
            <w:r w:rsidR="09E74877">
              <w:t xml:space="preserve"> much gain in efficiency</w:t>
            </w:r>
            <w:r w:rsidRPr="00BB1BAC">
              <w:t>.</w:t>
            </w:r>
          </w:p>
          <w:p w14:paraId="2B3DB3E9" w14:textId="77777777" w:rsidR="006D25D9" w:rsidRPr="00B96F50" w:rsidRDefault="006D25D9" w:rsidP="006D25D9"/>
          <w:p w14:paraId="7B2BEC4E" w14:textId="65A04105" w:rsidR="000B743C" w:rsidRPr="00B96F50" w:rsidRDefault="000B743C" w:rsidP="000B743C">
            <w:pPr>
              <w:pStyle w:val="ListParagraph"/>
              <w:numPr>
                <w:ilvl w:val="0"/>
                <w:numId w:val="20"/>
              </w:numPr>
              <w:rPr>
                <w:i/>
                <w:iCs/>
              </w:rPr>
            </w:pPr>
            <w:r w:rsidRPr="00B96F50">
              <w:rPr>
                <w:i/>
                <w:iCs/>
              </w:rPr>
              <w:t>Recogn</w:t>
            </w:r>
            <w:r w:rsidR="00A13C48" w:rsidRPr="00B96F50">
              <w:rPr>
                <w:i/>
                <w:iCs/>
              </w:rPr>
              <w:t>is</w:t>
            </w:r>
            <w:r w:rsidRPr="00B96F50">
              <w:rPr>
                <w:i/>
                <w:iCs/>
              </w:rPr>
              <w:t>ing that strict control of type 1 error is not possible if using Bayesian designs with informative priors, what are MHRA considerations for deviating from minim</w:t>
            </w:r>
            <w:r w:rsidR="00A13C48" w:rsidRPr="00B96F50">
              <w:rPr>
                <w:i/>
                <w:iCs/>
              </w:rPr>
              <w:t>is</w:t>
            </w:r>
            <w:r w:rsidRPr="00B96F50">
              <w:rPr>
                <w:i/>
                <w:iCs/>
              </w:rPr>
              <w:t xml:space="preserve">ing bias / maximum type I error rate control in a confirmatory setting, and under what circumstances (beyond rare diseases and paediatrics)? </w:t>
            </w:r>
          </w:p>
          <w:p w14:paraId="5F155D8D" w14:textId="66A8662D" w:rsidR="000B743C" w:rsidRPr="00B96F50" w:rsidRDefault="000B743C" w:rsidP="000B743C">
            <w:pPr>
              <w:pStyle w:val="ListParagraph"/>
              <w:numPr>
                <w:ilvl w:val="0"/>
                <w:numId w:val="13"/>
              </w:numPr>
              <w:rPr>
                <w:i/>
                <w:iCs/>
              </w:rPr>
            </w:pPr>
            <w:r w:rsidRPr="00B96F50">
              <w:rPr>
                <w:i/>
                <w:iCs/>
              </w:rPr>
              <w:t xml:space="preserve">What alternative metrics would MHRA consider appropriate for evaluating designs in such circumstances? (e.g. average type I error? Optimising </w:t>
            </w:r>
            <w:proofErr w:type="spellStart"/>
            <w:r w:rsidRPr="00B96F50">
              <w:rPr>
                <w:i/>
                <w:iCs/>
              </w:rPr>
              <w:t>tradeoff</w:t>
            </w:r>
            <w:proofErr w:type="spellEnd"/>
            <w:r w:rsidRPr="00B96F50">
              <w:rPr>
                <w:i/>
                <w:iCs/>
              </w:rPr>
              <w:t xml:space="preserve"> between type I and type II errors?)</w:t>
            </w:r>
          </w:p>
          <w:p w14:paraId="51B2D5BE" w14:textId="72FC024A" w:rsidR="000B743C" w:rsidRPr="00B96F50" w:rsidRDefault="000B743C" w:rsidP="000B743C">
            <w:pPr>
              <w:pStyle w:val="ListParagraph"/>
              <w:numPr>
                <w:ilvl w:val="0"/>
                <w:numId w:val="13"/>
              </w:numPr>
              <w:rPr>
                <w:i/>
                <w:iCs/>
              </w:rPr>
            </w:pPr>
            <w:r w:rsidRPr="00B96F50">
              <w:rPr>
                <w:i/>
                <w:iCs/>
              </w:rPr>
              <w:t>What gaps are there that need to be addressed to be able to give such guidance?</w:t>
            </w:r>
          </w:p>
          <w:p w14:paraId="36C9EBA2" w14:textId="77777777" w:rsidR="000B743C" w:rsidRPr="00B96F50" w:rsidRDefault="000B743C" w:rsidP="000B743C"/>
          <w:p w14:paraId="5C943A6C" w14:textId="52D97470" w:rsidR="00151C9D" w:rsidRPr="00151C9D" w:rsidRDefault="00D0342E" w:rsidP="00151C9D">
            <w:r>
              <w:lastRenderedPageBreak/>
              <w:t>MHRA Team</w:t>
            </w:r>
            <w:r w:rsidR="00151C9D" w:rsidRPr="00151C9D">
              <w:t xml:space="preserve"> sought clarification on the type of external data, asking whether it pertains, for example, to previous placebo data.</w:t>
            </w:r>
          </w:p>
          <w:p w14:paraId="74D1A902" w14:textId="77777777" w:rsidR="00151C9D" w:rsidRPr="00B96F50" w:rsidRDefault="00151C9D" w:rsidP="004131B7"/>
          <w:p w14:paraId="6593C806" w14:textId="716B4999" w:rsidR="008D5EC0" w:rsidRPr="008D5EC0" w:rsidRDefault="00D0342E" w:rsidP="008D5EC0">
            <w:r>
              <w:t>EFSPI</w:t>
            </w:r>
            <w:r w:rsidR="008D5EC0" w:rsidRPr="008D5EC0">
              <w:t xml:space="preserve"> provided an example of a sponsor's program where control and placebo data from other studies within the same program are available. These studies involve the same patient population and inclusion criteria, offering high confidence in the exchangeability of the data. This allows for a better understanding of plausible differences or potential heterogeneity.</w:t>
            </w:r>
          </w:p>
          <w:p w14:paraId="1180B0B7" w14:textId="77777777" w:rsidR="008D5EC0" w:rsidRPr="00B96F50" w:rsidRDefault="008D5EC0" w:rsidP="004131B7"/>
          <w:p w14:paraId="1294B0B8" w14:textId="04C60617" w:rsidR="002D59F6" w:rsidRPr="00B96F50" w:rsidRDefault="00D0342E" w:rsidP="004131B7">
            <w:r>
              <w:t>MHRA Team</w:t>
            </w:r>
            <w:r w:rsidR="002D59F6" w:rsidRPr="002D59F6">
              <w:t xml:space="preserve"> noted that in such situations, </w:t>
            </w:r>
            <w:r w:rsidR="0043528B" w:rsidRPr="00B96F50">
              <w:t>type I error</w:t>
            </w:r>
            <w:r w:rsidR="002D59F6" w:rsidRPr="002D59F6">
              <w:t xml:space="preserve"> might not necessarily be affected, but the key question would be the level of confidence in the results afterward. Companies have previously presented external controls using methods such as propensity scores to produce a standard p-value, not necessarily Bayesian methods. However, the confidence in the p-value depends heavily on the quality </w:t>
            </w:r>
            <w:r w:rsidR="04AD59C0">
              <w:t xml:space="preserve">and relevance </w:t>
            </w:r>
            <w:r w:rsidR="002D59F6" w:rsidRPr="002D59F6">
              <w:t>of the external data and the potential for unknown biases.</w:t>
            </w:r>
            <w:r w:rsidR="002D59F6" w:rsidRPr="00B96F50">
              <w:t xml:space="preserve"> </w:t>
            </w:r>
            <w:r>
              <w:t>MHRA Team</w:t>
            </w:r>
            <w:r w:rsidR="002D59F6" w:rsidRPr="002D59F6">
              <w:t xml:space="preserve"> emphas</w:t>
            </w:r>
            <w:r w:rsidR="00A13C48" w:rsidRPr="00B96F50">
              <w:t>is</w:t>
            </w:r>
            <w:r w:rsidR="002D59F6" w:rsidRPr="002D59F6">
              <w:t>ed that such approaches are often adopted due to specific limitations, but interpreting the p-value in the same way as in a random</w:t>
            </w:r>
            <w:r w:rsidR="00A13C48" w:rsidRPr="00B96F50">
              <w:t>is</w:t>
            </w:r>
            <w:r w:rsidR="002D59F6" w:rsidRPr="002D59F6">
              <w:t xml:space="preserve">ed context can be challenging. While </w:t>
            </w:r>
            <w:r w:rsidR="00865501" w:rsidRPr="00B96F50">
              <w:t>t</w:t>
            </w:r>
            <w:r w:rsidR="002D59F6" w:rsidRPr="002D59F6">
              <w:t>ype I error control can still be considered, it is important to recogni</w:t>
            </w:r>
            <w:r w:rsidR="001C29DB" w:rsidRPr="00B96F50">
              <w:t>s</w:t>
            </w:r>
            <w:r w:rsidR="002D59F6" w:rsidRPr="002D59F6">
              <w:t>e that the results may not carry the same robustness due to the non-randomi</w:t>
            </w:r>
            <w:r w:rsidR="001C29DB" w:rsidRPr="00B96F50">
              <w:t>s</w:t>
            </w:r>
            <w:r w:rsidR="002D59F6" w:rsidRPr="002D59F6">
              <w:t xml:space="preserve">ed nature of the data. </w:t>
            </w:r>
            <w:r w:rsidR="00340FE7">
              <w:t>Exchangeability</w:t>
            </w:r>
            <w:r w:rsidR="00652751">
              <w:t xml:space="preserve"> and similarity between the </w:t>
            </w:r>
            <w:r w:rsidR="00D32A2D">
              <w:t xml:space="preserve">placebo group and </w:t>
            </w:r>
            <w:r w:rsidR="00BF48E4">
              <w:t>the prior is very important to consider.</w:t>
            </w:r>
            <w:r w:rsidR="00D32A2D">
              <w:t xml:space="preserve"> </w:t>
            </w:r>
            <w:r w:rsidR="002D59F6" w:rsidRPr="002D59F6">
              <w:t xml:space="preserve">Biases, potentially significant ones, could be introduced by unknown factors, making this approach </w:t>
            </w:r>
            <w:r w:rsidR="002D59F6" w:rsidRPr="00B96F50">
              <w:t>case dependent</w:t>
            </w:r>
            <w:r w:rsidR="002D59F6" w:rsidRPr="002D59F6">
              <w:t>.</w:t>
            </w:r>
            <w:r w:rsidR="00CC3EF6">
              <w:t xml:space="preserve"> </w:t>
            </w:r>
            <w:r>
              <w:t>MHRA Team</w:t>
            </w:r>
            <w:r w:rsidR="00F75BA4">
              <w:t xml:space="preserve"> re-emphasi</w:t>
            </w:r>
            <w:r w:rsidR="00654A0F">
              <w:t>s</w:t>
            </w:r>
            <w:r w:rsidR="00F75BA4">
              <w:t xml:space="preserve">ed the need </w:t>
            </w:r>
            <w:r w:rsidR="00654A0F">
              <w:t xml:space="preserve">to </w:t>
            </w:r>
            <w:r w:rsidR="55028A80">
              <w:t>come</w:t>
            </w:r>
            <w:r w:rsidR="00F75BA4">
              <w:t xml:space="preserve"> for a scientific advice </w:t>
            </w:r>
            <w:r w:rsidR="46F509FA">
              <w:t>to discuss the</w:t>
            </w:r>
            <w:r w:rsidR="4C331E91">
              <w:t xml:space="preserve"> aspect relating to the specific trial.</w:t>
            </w:r>
            <w:r w:rsidR="46F509FA">
              <w:t xml:space="preserve"> </w:t>
            </w:r>
          </w:p>
          <w:p w14:paraId="480C3DE8" w14:textId="6BFEB52D" w:rsidR="00711755" w:rsidRPr="00711755" w:rsidRDefault="00D0342E" w:rsidP="00711755">
            <w:r>
              <w:t>EFSPI</w:t>
            </w:r>
            <w:r w:rsidR="00711755" w:rsidRPr="00711755">
              <w:t xml:space="preserve"> posed a related but slightly different question, using a hypothetical trial scenario. In a trial with two treatment arms and one control arm, if one treatment arm is dropped during an interim analysis, the data from the remaining treatment arm and the control arm can still be fully </w:t>
            </w:r>
            <w:r w:rsidR="00711755" w:rsidRPr="00B96F50">
              <w:t>used</w:t>
            </w:r>
            <w:r w:rsidR="00711755" w:rsidRPr="00711755">
              <w:t xml:space="preserve">, both before and after the dropped arm. However, in the reverse scenario—starting with one treatment arm and one control arm and adding a new treatment arm at an interim analysis—the data collected prior to adding the new arm might not be </w:t>
            </w:r>
            <w:r w:rsidR="00711755" w:rsidRPr="00B96F50">
              <w:t xml:space="preserve">used </w:t>
            </w:r>
            <w:r w:rsidR="00711755" w:rsidRPr="00711755">
              <w:t>due to a potential shift in the population caused by introducing the ne</w:t>
            </w:r>
            <w:r w:rsidR="00711755" w:rsidRPr="00B96F50">
              <w:t>w</w:t>
            </w:r>
            <w:r w:rsidR="00711755" w:rsidRPr="00711755">
              <w:t xml:space="preserve"> arm.</w:t>
            </w:r>
            <w:r w:rsidR="00711755" w:rsidRPr="00B96F50">
              <w:t xml:space="preserve"> </w:t>
            </w:r>
            <w:r>
              <w:t>EFSPI</w:t>
            </w:r>
            <w:r w:rsidR="00711755" w:rsidRPr="00711755">
              <w:t xml:space="preserve"> specifically questioned whether the control arm data could still be used for the added treatment arm, even though the control arm was initiated earlier.</w:t>
            </w:r>
            <w:r w:rsidR="00711755" w:rsidRPr="00B96F50">
              <w:t xml:space="preserve"> </w:t>
            </w:r>
            <w:r>
              <w:t>EFSPI</w:t>
            </w:r>
            <w:r w:rsidR="00711755" w:rsidRPr="00B96F50">
              <w:t xml:space="preserve"> </w:t>
            </w:r>
            <w:r w:rsidR="00711755" w:rsidRPr="00711755">
              <w:t>argued that this scenario is not entirely equivalent to an external control but rather reflects a slightly earlier randomi</w:t>
            </w:r>
            <w:r w:rsidR="00711755" w:rsidRPr="00B96F50">
              <w:t>s</w:t>
            </w:r>
            <w:r w:rsidR="00711755" w:rsidRPr="00711755">
              <w:t xml:space="preserve">ation. </w:t>
            </w:r>
            <w:r>
              <w:t>EFSPI</w:t>
            </w:r>
            <w:r w:rsidR="00711755" w:rsidRPr="00711755">
              <w:t xml:space="preserve"> asked for clarification on why such data might not be usable in this setting.</w:t>
            </w:r>
          </w:p>
          <w:p w14:paraId="517314B2" w14:textId="77777777" w:rsidR="00711755" w:rsidRPr="00B96F50" w:rsidRDefault="00711755" w:rsidP="004131B7"/>
          <w:p w14:paraId="5D5D3B19" w14:textId="3BE45EC5" w:rsidR="00AE6346" w:rsidRPr="00AE6346" w:rsidRDefault="00D0342E" w:rsidP="00AE6346">
            <w:r>
              <w:t>MHRA Team</w:t>
            </w:r>
            <w:r w:rsidR="00AE6346" w:rsidRPr="00AE6346">
              <w:t xml:space="preserve"> </w:t>
            </w:r>
            <w:r w:rsidR="00C17B49">
              <w:t>noted</w:t>
            </w:r>
            <w:r w:rsidR="00C17B49" w:rsidRPr="00AE6346">
              <w:t xml:space="preserve"> </w:t>
            </w:r>
            <w:r w:rsidR="00AE6346" w:rsidRPr="00AE6346">
              <w:t xml:space="preserve">that this scenario </w:t>
            </w:r>
            <w:r w:rsidR="00AE6346" w:rsidRPr="00B96F50">
              <w:t xml:space="preserve">is a kind of </w:t>
            </w:r>
            <w:r w:rsidR="00AE6346" w:rsidRPr="00AE6346">
              <w:t xml:space="preserve">a platform design. </w:t>
            </w:r>
            <w:r>
              <w:t>MHRA Team</w:t>
            </w:r>
            <w:r w:rsidR="00AE6346" w:rsidRPr="00AE6346">
              <w:t xml:space="preserve"> agreed that, in theory, for a fair comparison, only patients randomi</w:t>
            </w:r>
            <w:r w:rsidR="00AE6346" w:rsidRPr="00B96F50">
              <w:t>s</w:t>
            </w:r>
            <w:r w:rsidR="00AE6346" w:rsidRPr="00AE6346">
              <w:t>ed after the inclusion of the new treatment arm should be used, as these are strictly comparable. However, whether the data from patients enrolled before adding the new arm can be used would depend on the context. Key considerations include how different the earlier data is from the data collected after the new arm was added, as well as the timing of the trial</w:t>
            </w:r>
            <w:r w:rsidR="00AE6346" w:rsidRPr="00B96F50">
              <w:t xml:space="preserve">, for instance, </w:t>
            </w:r>
            <w:r w:rsidR="00AE6346" w:rsidRPr="00AE6346">
              <w:t>whether it began three years ago or just three months ago. Depending on these factors, using the earlier data might be acceptable.</w:t>
            </w:r>
          </w:p>
          <w:p w14:paraId="767B1C59" w14:textId="77777777" w:rsidR="00AE6346" w:rsidRPr="00B96F50" w:rsidRDefault="00AE6346" w:rsidP="004131B7"/>
          <w:p w14:paraId="7232F583" w14:textId="15160D6A" w:rsidR="0039042B" w:rsidRPr="0039042B" w:rsidRDefault="00D0342E" w:rsidP="0039042B">
            <w:r>
              <w:t>EFSPI</w:t>
            </w:r>
            <w:r w:rsidR="0039042B" w:rsidRPr="0039042B">
              <w:t xml:space="preserve"> emphasi</w:t>
            </w:r>
            <w:r w:rsidR="0039042B" w:rsidRPr="00B96F50">
              <w:t>s</w:t>
            </w:r>
            <w:r w:rsidR="0039042B" w:rsidRPr="0039042B">
              <w:t>ed that concepts are often treated as dichotomies</w:t>
            </w:r>
            <w:r w:rsidR="0039042B" w:rsidRPr="00B96F50">
              <w:t xml:space="preserve">, such as </w:t>
            </w:r>
            <w:r w:rsidR="0039042B" w:rsidRPr="0039042B">
              <w:t xml:space="preserve">internal </w:t>
            </w:r>
            <w:r w:rsidR="0039042B" w:rsidRPr="00B96F50">
              <w:t>vs.</w:t>
            </w:r>
            <w:r w:rsidR="0039042B" w:rsidRPr="0039042B">
              <w:t xml:space="preserve"> external controls or Frequentist </w:t>
            </w:r>
            <w:r w:rsidR="0039042B" w:rsidRPr="00B96F50">
              <w:t>vs.</w:t>
            </w:r>
            <w:r w:rsidR="0039042B" w:rsidRPr="0039042B">
              <w:t xml:space="preserve"> Bayesian approaches</w:t>
            </w:r>
            <w:r w:rsidR="0039042B" w:rsidRPr="00B96F50">
              <w:t xml:space="preserve">, </w:t>
            </w:r>
            <w:proofErr w:type="gramStart"/>
            <w:r w:rsidR="0039042B" w:rsidRPr="0039042B">
              <w:t xml:space="preserve">when in </w:t>
            </w:r>
            <w:r w:rsidR="0039042B" w:rsidRPr="0039042B">
              <w:lastRenderedPageBreak/>
              <w:t>reality, they</w:t>
            </w:r>
            <w:proofErr w:type="gramEnd"/>
            <w:r w:rsidR="0039042B" w:rsidRPr="0039042B">
              <w:t xml:space="preserve"> exist on a spectrum. </w:t>
            </w:r>
            <w:r>
              <w:t>EFSPI</w:t>
            </w:r>
            <w:r w:rsidR="0039042B" w:rsidRPr="0039042B">
              <w:t xml:space="preserve"> drew a parallel to response-adaptive designs, where the random</w:t>
            </w:r>
            <w:r w:rsidR="00A13C48" w:rsidRPr="00B96F50">
              <w:t>is</w:t>
            </w:r>
            <w:r w:rsidR="0039042B" w:rsidRPr="0039042B">
              <w:t>ation ratio evolves over time, highlighting the need to consider the broader space of trial design. Within this space, various special cases can be identified, and a more comprehensive approach to understanding these designs is required.</w:t>
            </w:r>
          </w:p>
          <w:p w14:paraId="25B99B81" w14:textId="77777777" w:rsidR="00D5121B" w:rsidRPr="00B96F50" w:rsidRDefault="00D5121B" w:rsidP="004131B7"/>
          <w:p w14:paraId="22B058AD" w14:textId="0FECA467" w:rsidR="000279BE" w:rsidRPr="00B96F50" w:rsidRDefault="00D0342E" w:rsidP="004131B7">
            <w:r>
              <w:t>MHRA Team</w:t>
            </w:r>
            <w:r w:rsidR="000279BE" w:rsidRPr="000279BE">
              <w:t xml:space="preserve"> acknowledged that this is a valid point, noting that decisions are not typically black and white. </w:t>
            </w:r>
            <w:r>
              <w:t>MHRA Team</w:t>
            </w:r>
            <w:r w:rsidR="000279BE" w:rsidRPr="000279BE">
              <w:t xml:space="preserve"> emphasi</w:t>
            </w:r>
            <w:r w:rsidR="000279BE" w:rsidRPr="00B96F50">
              <w:t>s</w:t>
            </w:r>
            <w:r w:rsidR="000279BE" w:rsidRPr="000279BE">
              <w:t>ed the importance of pragmatism and highlighted that there is some flexibility in the approach, although it is challenging to provide a general statement applicable to all situations.</w:t>
            </w:r>
          </w:p>
          <w:p w14:paraId="6D7B4EB3" w14:textId="77777777" w:rsidR="004131B7" w:rsidRPr="00B96F50" w:rsidRDefault="004131B7" w:rsidP="000B743C"/>
          <w:p w14:paraId="7B617FC3" w14:textId="77777777" w:rsidR="000B743C" w:rsidRPr="00B96F50" w:rsidRDefault="000B743C" w:rsidP="000B743C">
            <w:pPr>
              <w:pStyle w:val="ListParagraph"/>
              <w:numPr>
                <w:ilvl w:val="0"/>
                <w:numId w:val="20"/>
              </w:numPr>
              <w:rPr>
                <w:i/>
                <w:iCs/>
              </w:rPr>
            </w:pPr>
            <w:r w:rsidRPr="00B96F50">
              <w:rPr>
                <w:i/>
                <w:iCs/>
              </w:rPr>
              <w:t>What are the MHRA considerations when reviewing (in non-rare / non-</w:t>
            </w:r>
            <w:proofErr w:type="spellStart"/>
            <w:r w:rsidRPr="00B96F50">
              <w:rPr>
                <w:i/>
                <w:iCs/>
              </w:rPr>
              <w:t>pediatric</w:t>
            </w:r>
            <w:proofErr w:type="spellEnd"/>
            <w:r w:rsidRPr="00B96F50">
              <w:rPr>
                <w:i/>
                <w:iCs/>
              </w:rPr>
              <w:t xml:space="preserve"> indications) a “hybrid” design, where a classical frequentist approach is used for a primary endpoint (say, as a gatekeeper), and Bayesian approach with an informative prior (e.g. on the control group or treatment effect) is used for one or multiple secondary endpoints? For example:</w:t>
            </w:r>
          </w:p>
          <w:p w14:paraId="666F5AD7" w14:textId="77777777" w:rsidR="000B743C" w:rsidRPr="00B96F50" w:rsidRDefault="000B743C" w:rsidP="000B743C">
            <w:pPr>
              <w:pStyle w:val="ListParagraph"/>
              <w:numPr>
                <w:ilvl w:val="0"/>
                <w:numId w:val="14"/>
              </w:numPr>
              <w:rPr>
                <w:i/>
                <w:iCs/>
              </w:rPr>
            </w:pPr>
            <w:r w:rsidRPr="00B96F50">
              <w:rPr>
                <w:i/>
                <w:iCs/>
              </w:rPr>
              <w:t xml:space="preserve">Oncology – in </w:t>
            </w:r>
            <w:r w:rsidRPr="00B96F50">
              <w:rPr>
                <w:bCs/>
                <w:i/>
                <w:iCs/>
              </w:rPr>
              <w:t>indications with long overall survival, where after PFS or MRD (primary endpoint) important level of crossovers could be expected due to long follow up period for OS as key secondary endpoint: could Bayesian borrowing be used to augment control for OS (no borrowing for PFS)?</w:t>
            </w:r>
          </w:p>
          <w:p w14:paraId="58FCE5D0" w14:textId="77777777" w:rsidR="000B743C" w:rsidRPr="00B96F50" w:rsidRDefault="000B743C" w:rsidP="000B743C">
            <w:pPr>
              <w:pStyle w:val="ListParagraph"/>
              <w:numPr>
                <w:ilvl w:val="0"/>
                <w:numId w:val="14"/>
              </w:numPr>
              <w:rPr>
                <w:i/>
                <w:iCs/>
              </w:rPr>
            </w:pPr>
            <w:r w:rsidRPr="00B96F50">
              <w:rPr>
                <w:i/>
                <w:iCs/>
              </w:rPr>
              <w:t>Cardiovascular – 3P-MACE as primary, CV death as key secondary, one could imagine borrowing on the treatment effect from an adjacent population (e.g. primary prevention &lt;-&gt; secondary prevention)</w:t>
            </w:r>
          </w:p>
          <w:p w14:paraId="79093221" w14:textId="223CA3A6" w:rsidR="000B743C" w:rsidRPr="00B96F50" w:rsidRDefault="000B743C" w:rsidP="000B743C">
            <w:pPr>
              <w:pStyle w:val="ListParagraph"/>
              <w:numPr>
                <w:ilvl w:val="0"/>
                <w:numId w:val="14"/>
              </w:numPr>
              <w:rPr>
                <w:i/>
                <w:iCs/>
              </w:rPr>
            </w:pPr>
            <w:r w:rsidRPr="00B96F50">
              <w:rPr>
                <w:i/>
                <w:iCs/>
              </w:rPr>
              <w:t xml:space="preserve">Cardiovascular – MACE </w:t>
            </w:r>
            <w:r w:rsidRPr="00B96F50">
              <w:rPr>
                <w:bCs/>
                <w:i/>
                <w:iCs/>
              </w:rPr>
              <w:t>or clinically hierarchical composite (Finkelstein-S</w:t>
            </w:r>
            <w:r w:rsidR="00235926">
              <w:rPr>
                <w:bCs/>
                <w:i/>
                <w:iCs/>
              </w:rPr>
              <w:t>c</w:t>
            </w:r>
            <w:r w:rsidRPr="00B96F50">
              <w:rPr>
                <w:bCs/>
                <w:i/>
                <w:iCs/>
              </w:rPr>
              <w:t xml:space="preserve">hoenfeld / win ratio) </w:t>
            </w:r>
            <w:r w:rsidRPr="00B96F50">
              <w:rPr>
                <w:i/>
                <w:iCs/>
              </w:rPr>
              <w:t xml:space="preserve">as primary, individual components of composite as secondary (which are important to inform clinical practice) – </w:t>
            </w:r>
            <w:r w:rsidRPr="00B96F50">
              <w:rPr>
                <w:bCs/>
                <w:i/>
                <w:iCs/>
              </w:rPr>
              <w:t>could Bayesian borrowing from external controls (e.g. other RCTs conducted in population with similar I/E criteria and where outcomes (components) are adjudicated) be used to inform the analysis for mortality and other components of the composite endpoint</w:t>
            </w:r>
            <w:r w:rsidRPr="00B96F50">
              <w:rPr>
                <w:i/>
                <w:iCs/>
              </w:rPr>
              <w:t xml:space="preserve">? </w:t>
            </w:r>
          </w:p>
          <w:p w14:paraId="70D50675" w14:textId="77777777" w:rsidR="000B743C" w:rsidRPr="00B96F50" w:rsidRDefault="000B743C" w:rsidP="000B743C">
            <w:pPr>
              <w:pStyle w:val="ListParagraph"/>
              <w:numPr>
                <w:ilvl w:val="0"/>
                <w:numId w:val="14"/>
              </w:numPr>
              <w:rPr>
                <w:i/>
                <w:iCs/>
              </w:rPr>
            </w:pPr>
            <w:r w:rsidRPr="00B96F50">
              <w:rPr>
                <w:i/>
                <w:iCs/>
              </w:rPr>
              <w:t>Treatment of anaemia in chronic kidney disease – change from baseline in haemoglobin as primary efficacy endpoint, MACE as key secondary safety endpoint (borrowing from historical controls)</w:t>
            </w:r>
          </w:p>
          <w:p w14:paraId="65248193" w14:textId="77777777" w:rsidR="00731088" w:rsidRPr="00B96F50" w:rsidRDefault="00731088" w:rsidP="00731088"/>
          <w:p w14:paraId="3BD5BD9F" w14:textId="651F4A8E" w:rsidR="000C516B" w:rsidRPr="000C516B" w:rsidRDefault="00D0342E" w:rsidP="000C516B">
            <w:r>
              <w:t>MHRA Team</w:t>
            </w:r>
            <w:r w:rsidR="000C516B" w:rsidRPr="000C516B">
              <w:t xml:space="preserve"> noted </w:t>
            </w:r>
            <w:proofErr w:type="gramStart"/>
            <w:r w:rsidR="000C516B" w:rsidRPr="000C516B">
              <w:t xml:space="preserve">that </w:t>
            </w:r>
            <w:r w:rsidR="49C5366F">
              <w:t xml:space="preserve"> it</w:t>
            </w:r>
            <w:proofErr w:type="gramEnd"/>
            <w:r w:rsidR="49C5366F">
              <w:t xml:space="preserve"> </w:t>
            </w:r>
            <w:r w:rsidR="00A91154">
              <w:t>could be</w:t>
            </w:r>
            <w:r w:rsidR="000C516B" w:rsidRPr="000C516B">
              <w:t xml:space="preserve"> possible to justify such an approach. </w:t>
            </w:r>
            <w:r w:rsidR="007C7C02">
              <w:t>While not specifically on the Bayesian point, a</w:t>
            </w:r>
            <w:r w:rsidR="000C516B" w:rsidRPr="000C516B">
              <w:t xml:space="preserve"> common example they observe is in oncology trials, where PFS is fully powered, and OS is assessed through a meta-analysis rather than relying solely on individual trial data. Another example is in diabetes trials, where the HbA1c endpoint is fully powered, while cardiac safety evidence is </w:t>
            </w:r>
            <w:r w:rsidR="00F87323">
              <w:t>taken from several</w:t>
            </w:r>
            <w:r w:rsidR="000C516B" w:rsidRPr="000C516B">
              <w:t xml:space="preserve"> sources due to the limited number of events within a single trial.</w:t>
            </w:r>
          </w:p>
          <w:p w14:paraId="3C26B1E2" w14:textId="77777777" w:rsidR="00731088" w:rsidRPr="00B96F50" w:rsidRDefault="00731088" w:rsidP="00731088"/>
          <w:p w14:paraId="54C5C800" w14:textId="77777777" w:rsidR="000B743C" w:rsidRPr="00B96F50" w:rsidRDefault="000B743C" w:rsidP="000B743C">
            <w:pPr>
              <w:pStyle w:val="ListParagraph"/>
              <w:numPr>
                <w:ilvl w:val="0"/>
                <w:numId w:val="20"/>
              </w:numPr>
              <w:rPr>
                <w:i/>
                <w:iCs/>
              </w:rPr>
            </w:pPr>
            <w:r w:rsidRPr="00B96F50">
              <w:rPr>
                <w:i/>
                <w:iCs/>
              </w:rPr>
              <w:t xml:space="preserve">Given MHRA experience with the use of external data sources to a clinical trial, what processes do you recommend for planning the use of external data sources and assessing fitness for purpose? </w:t>
            </w:r>
          </w:p>
          <w:p w14:paraId="42967F84" w14:textId="77777777" w:rsidR="000B743C" w:rsidRPr="00B96F50" w:rsidRDefault="000B743C" w:rsidP="000B743C">
            <w:pPr>
              <w:pStyle w:val="ListParagraph"/>
              <w:numPr>
                <w:ilvl w:val="0"/>
                <w:numId w:val="15"/>
              </w:numPr>
              <w:rPr>
                <w:i/>
                <w:iCs/>
              </w:rPr>
            </w:pPr>
            <w:r w:rsidRPr="00B96F50">
              <w:rPr>
                <w:i/>
                <w:iCs/>
              </w:rPr>
              <w:lastRenderedPageBreak/>
              <w:t xml:space="preserve">What information (on patient and/or trial level) does MHRA expect </w:t>
            </w:r>
            <w:proofErr w:type="gramStart"/>
            <w:r w:rsidRPr="00B96F50">
              <w:rPr>
                <w:i/>
                <w:iCs/>
              </w:rPr>
              <w:t>in order to</w:t>
            </w:r>
            <w:proofErr w:type="gramEnd"/>
            <w:r w:rsidRPr="00B96F50">
              <w:rPr>
                <w:i/>
                <w:iCs/>
              </w:rPr>
              <w:t xml:space="preserve"> evaluate a proposed external data source?</w:t>
            </w:r>
          </w:p>
          <w:p w14:paraId="1A267A6F" w14:textId="77777777" w:rsidR="003350E6" w:rsidRPr="00B96F50" w:rsidRDefault="003350E6" w:rsidP="000C516B"/>
          <w:p w14:paraId="10126B02" w14:textId="3F316086" w:rsidR="003350E6" w:rsidRPr="003350E6" w:rsidRDefault="00D0342E" w:rsidP="003350E6">
            <w:r>
              <w:t>MHRA Team</w:t>
            </w:r>
            <w:r w:rsidR="003350E6" w:rsidRPr="003350E6">
              <w:t xml:space="preserve"> emphasi</w:t>
            </w:r>
            <w:r w:rsidR="003350E6" w:rsidRPr="00B96F50">
              <w:t>s</w:t>
            </w:r>
            <w:r w:rsidR="003350E6" w:rsidRPr="003350E6">
              <w:t xml:space="preserve">ed the importance of using the estimands framework to identify </w:t>
            </w:r>
            <w:r w:rsidR="00637412">
              <w:t xml:space="preserve">intercurrent events </w:t>
            </w:r>
            <w:r w:rsidR="003350E6" w:rsidRPr="003350E6">
              <w:t xml:space="preserve">and define the appropriate population for analysis. </w:t>
            </w:r>
            <w:r>
              <w:t>MHRA Team</w:t>
            </w:r>
            <w:r w:rsidR="003350E6" w:rsidRPr="003350E6">
              <w:t xml:space="preserve"> noted that it is crucial to ensure alignment between the selected estimands </w:t>
            </w:r>
            <w:r w:rsidR="006D723B">
              <w:t xml:space="preserve">for the study </w:t>
            </w:r>
            <w:r w:rsidR="003350E6" w:rsidRPr="003350E6">
              <w:t>and the external data sources used in the planned analysis. Key considerations include ensuring comparability of patient characteristics (e.g. baseline variables, treatment type and frequency, amount and pattern of missing data) and ensuring that the data aligns in terms of regions, clinical settings, and the quality and completeness of the external data sources.</w:t>
            </w:r>
            <w:r w:rsidR="00670965">
              <w:t xml:space="preserve"> </w:t>
            </w:r>
            <w:r w:rsidR="00027355">
              <w:t xml:space="preserve">Time-points for data collection should be aligned between </w:t>
            </w:r>
            <w:r w:rsidR="006F662C">
              <w:t xml:space="preserve">trial and external data-source where possible. </w:t>
            </w:r>
          </w:p>
          <w:p w14:paraId="7A679BC6" w14:textId="77777777" w:rsidR="00637412" w:rsidRDefault="00637412" w:rsidP="00637412">
            <w:pPr>
              <w:rPr>
                <w:i/>
                <w:iCs/>
              </w:rPr>
            </w:pPr>
          </w:p>
          <w:p w14:paraId="73CFF8A8" w14:textId="2B8E7218" w:rsidR="00637412" w:rsidRPr="00B96F50" w:rsidRDefault="00637412" w:rsidP="00637412">
            <w:pPr>
              <w:rPr>
                <w:u w:val="single"/>
              </w:rPr>
            </w:pPr>
            <w:r w:rsidRPr="00B96F50">
              <w:rPr>
                <w:u w:val="single"/>
              </w:rPr>
              <w:t>Additional</w:t>
            </w:r>
            <w:r w:rsidR="00654A0F">
              <w:rPr>
                <w:u w:val="single"/>
              </w:rPr>
              <w:t xml:space="preserve"> question</w:t>
            </w:r>
            <w:r w:rsidRPr="00B96F50">
              <w:rPr>
                <w:u w:val="single"/>
              </w:rPr>
              <w:t>:</w:t>
            </w:r>
          </w:p>
          <w:p w14:paraId="0C833D72" w14:textId="782B6321" w:rsidR="00637412" w:rsidRPr="00B96F50" w:rsidRDefault="00D0342E" w:rsidP="00637412">
            <w:r>
              <w:t>MHRA Team</w:t>
            </w:r>
            <w:r w:rsidR="00637412">
              <w:t xml:space="preserve"> mentioned that another potential use of prior information was to make a case for a single pivotal trial as opposed to two pivotal trials. </w:t>
            </w:r>
            <w:r>
              <w:t>EFSPI</w:t>
            </w:r>
            <w:r w:rsidR="00637412" w:rsidRPr="00B96F50">
              <w:t xml:space="preserve"> raised a </w:t>
            </w:r>
            <w:r w:rsidR="00637412">
              <w:t xml:space="preserve">follow-up </w:t>
            </w:r>
            <w:r w:rsidR="00637412" w:rsidRPr="00B96F50">
              <w:t xml:space="preserve">question about the use of </w:t>
            </w:r>
            <w:r w:rsidR="00637412">
              <w:t>prior information to motivate</w:t>
            </w:r>
            <w:r w:rsidR="00637412" w:rsidRPr="00B96F50">
              <w:t xml:space="preserve"> </w:t>
            </w:r>
            <w:r w:rsidR="00637412">
              <w:t xml:space="preserve">a </w:t>
            </w:r>
            <w:r w:rsidR="00637412" w:rsidRPr="00B96F50">
              <w:t>single pivotal trial instead of two pivotal trials, asking what type of evidence would be required to support such an argument.</w:t>
            </w:r>
          </w:p>
          <w:p w14:paraId="21D8EDFF" w14:textId="28600639" w:rsidR="00637412" w:rsidRPr="00BD303F" w:rsidRDefault="00D0342E" w:rsidP="00637412">
            <w:r>
              <w:t>MHRA Team</w:t>
            </w:r>
            <w:r w:rsidR="00637412" w:rsidRPr="00BD303F">
              <w:t xml:space="preserve"> explained that the </w:t>
            </w:r>
            <w:r w:rsidR="00637412" w:rsidRPr="00B96F50">
              <w:t xml:space="preserve">main reference </w:t>
            </w:r>
            <w:r w:rsidR="00637412" w:rsidRPr="00BD303F">
              <w:t>for this topic is the CHMP Point</w:t>
            </w:r>
            <w:r w:rsidR="00B73300">
              <w:t>s</w:t>
            </w:r>
            <w:r w:rsidR="00637412" w:rsidRPr="00BD303F">
              <w:t xml:space="preserve"> to Consider on </w:t>
            </w:r>
            <w:r w:rsidR="00B73300">
              <w:t xml:space="preserve">applications with </w:t>
            </w:r>
            <w:r w:rsidR="00637412" w:rsidRPr="00BD303F">
              <w:t>single pivotal trials, which outlines scenarios where such an approach might be appropriate. For example, a single pivotal trial may suffice when seeking a</w:t>
            </w:r>
            <w:r w:rsidR="00632615">
              <w:t xml:space="preserve">n </w:t>
            </w:r>
            <w:r w:rsidR="003A4E10">
              <w:t xml:space="preserve">additional indication for an already approved </w:t>
            </w:r>
            <w:r w:rsidR="00615419">
              <w:t xml:space="preserve">treatment </w:t>
            </w:r>
            <w:r w:rsidR="00615419" w:rsidRPr="00BD303F">
              <w:t>in</w:t>
            </w:r>
            <w:r w:rsidR="00637412" w:rsidRPr="00BD303F">
              <w:t xml:space="preserve"> a </w:t>
            </w:r>
            <w:r w:rsidR="00064D76">
              <w:t xml:space="preserve">closely </w:t>
            </w:r>
            <w:r w:rsidR="00637412" w:rsidRPr="00BD303F">
              <w:t>related therapeutic area.</w:t>
            </w:r>
          </w:p>
          <w:p w14:paraId="79A5B005" w14:textId="2F4740A0" w:rsidR="00637412" w:rsidRPr="00637412" w:rsidRDefault="00637412" w:rsidP="00637412">
            <w:pPr>
              <w:rPr>
                <w:i/>
                <w:iCs/>
              </w:rPr>
            </w:pPr>
          </w:p>
        </w:tc>
      </w:tr>
      <w:tr w:rsidR="00B23F59" w:rsidRPr="00B96F50" w14:paraId="0EBC6060" w14:textId="77777777" w:rsidTr="4B5A7C9D">
        <w:tc>
          <w:tcPr>
            <w:tcW w:w="1851" w:type="dxa"/>
          </w:tcPr>
          <w:p w14:paraId="2CA66D4C" w14:textId="5ADFB36E" w:rsidR="00553478" w:rsidRPr="00B96F50" w:rsidRDefault="00553478" w:rsidP="00553478">
            <w:pPr>
              <w:rPr>
                <w:rFonts w:ascii="Calibri" w:hAnsi="Calibri"/>
                <w:b/>
                <w:bCs/>
              </w:rPr>
            </w:pPr>
            <w:r w:rsidRPr="00B96F50">
              <w:rPr>
                <w:rFonts w:ascii="Calibri" w:hAnsi="Calibri"/>
                <w:b/>
                <w:bCs/>
              </w:rPr>
              <w:lastRenderedPageBreak/>
              <w:t xml:space="preserve">Covariate adjustment in randomised clinical trials, including approaches based on ML </w:t>
            </w:r>
          </w:p>
          <w:p w14:paraId="170D2768" w14:textId="77777777" w:rsidR="00B23F59" w:rsidRPr="00B96F50" w:rsidRDefault="00B23F59" w:rsidP="00B23F59">
            <w:pPr>
              <w:rPr>
                <w:rFonts w:ascii="Calibri" w:hAnsi="Calibri"/>
                <w:b/>
                <w:bCs/>
              </w:rPr>
            </w:pPr>
          </w:p>
        </w:tc>
        <w:tc>
          <w:tcPr>
            <w:tcW w:w="7211" w:type="dxa"/>
          </w:tcPr>
          <w:p w14:paraId="22D9AC7E" w14:textId="4AB7A2F2" w:rsidR="00B7002F" w:rsidRPr="00B96F50" w:rsidRDefault="00B7002F" w:rsidP="00B7002F">
            <w:pPr>
              <w:rPr>
                <w:i/>
                <w:iCs/>
              </w:rPr>
            </w:pPr>
            <w:bookmarkStart w:id="0" w:name="_Hlk181191987"/>
            <w:r w:rsidRPr="00B96F50">
              <w:rPr>
                <w:i/>
                <w:iCs/>
              </w:rPr>
              <w:t>Regulatory guidelines recommend using prognostic pre-treatment data to improve the precision and power of treatment effect estimates in clinical trials. However, many trials do not fully util</w:t>
            </w:r>
            <w:r w:rsidR="00A13C48" w:rsidRPr="00B96F50">
              <w:rPr>
                <w:i/>
                <w:iCs/>
              </w:rPr>
              <w:t>is</w:t>
            </w:r>
            <w:r w:rsidRPr="00B96F50">
              <w:rPr>
                <w:i/>
                <w:iCs/>
              </w:rPr>
              <w:t xml:space="preserve">e the available information in baseline data due to a (perceived?) regulatory mandate to pre-specify variables for adjustment. </w:t>
            </w:r>
            <w:r w:rsidRPr="00B96F50">
              <w:rPr>
                <w:rFonts w:eastAsia="Times New Roman"/>
                <w:i/>
                <w:iCs/>
              </w:rPr>
              <w:t xml:space="preserve">Modern methods for covariate adjustment </w:t>
            </w:r>
            <w:proofErr w:type="spellStart"/>
            <w:r w:rsidRPr="00B96F50">
              <w:rPr>
                <w:rFonts w:eastAsia="Times New Roman"/>
                <w:i/>
                <w:iCs/>
              </w:rPr>
              <w:t>ie</w:t>
            </w:r>
            <w:proofErr w:type="spellEnd"/>
            <w:r w:rsidRPr="00B96F50">
              <w:rPr>
                <w:rFonts w:eastAsia="Times New Roman"/>
                <w:i/>
                <w:iCs/>
              </w:rPr>
              <w:t xml:space="preserve">. targeted learning </w:t>
            </w:r>
            <w:r w:rsidR="00553478" w:rsidRPr="00B96F50">
              <w:rPr>
                <w:rFonts w:eastAsia="Times New Roman"/>
                <w:i/>
                <w:iCs/>
              </w:rPr>
              <w:t>enables</w:t>
            </w:r>
            <w:r w:rsidRPr="00B96F50">
              <w:rPr>
                <w:rFonts w:eastAsia="Times New Roman"/>
                <w:i/>
                <w:iCs/>
              </w:rPr>
              <w:t xml:space="preserve"> robust and efficient estimation of the causal treatment effects that are traditionally targeted in RCTs (</w:t>
            </w:r>
            <w:hyperlink r:id="rId14" w:history="1">
              <w:r w:rsidRPr="00B96F50">
                <w:rPr>
                  <w:rStyle w:val="Hyperlink"/>
                  <w:rFonts w:eastAsia="Times New Roman"/>
                  <w:i/>
                  <w:iCs/>
                  <w:color w:val="auto"/>
                </w:rPr>
                <w:t>https://link.springer.com/book/10.1007/978-1-4419-9782-1</w:t>
              </w:r>
            </w:hyperlink>
            <w:r w:rsidRPr="00B96F50">
              <w:rPr>
                <w:rFonts w:eastAsia="Times New Roman"/>
                <w:i/>
                <w:iCs/>
              </w:rPr>
              <w:t xml:space="preserve">).  These methods are appealing in nature since they: </w:t>
            </w:r>
          </w:p>
          <w:p w14:paraId="13BB3225" w14:textId="77777777" w:rsidR="00B7002F" w:rsidRPr="00B96F50" w:rsidRDefault="00B7002F" w:rsidP="00B7002F">
            <w:pPr>
              <w:rPr>
                <w:rFonts w:eastAsia="Times New Roman"/>
                <w:i/>
                <w:iCs/>
              </w:rPr>
            </w:pPr>
          </w:p>
          <w:p w14:paraId="0F7F7D27" w14:textId="602603A6" w:rsidR="00B7002F" w:rsidRPr="00B96F50" w:rsidRDefault="00B7002F" w:rsidP="00B7002F">
            <w:pPr>
              <w:pStyle w:val="ListParagraph"/>
              <w:numPr>
                <w:ilvl w:val="0"/>
                <w:numId w:val="21"/>
              </w:numPr>
              <w:rPr>
                <w:rFonts w:eastAsia="Times New Roman"/>
                <w:i/>
                <w:iCs/>
              </w:rPr>
            </w:pPr>
            <w:r w:rsidRPr="00B96F50">
              <w:rPr>
                <w:rFonts w:eastAsia="Times New Roman"/>
                <w:i/>
                <w:iCs/>
              </w:rPr>
              <w:t xml:space="preserve">Have the same </w:t>
            </w:r>
            <w:r w:rsidR="00553478" w:rsidRPr="00B96F50">
              <w:rPr>
                <w:rFonts w:eastAsia="Times New Roman"/>
                <w:i/>
                <w:iCs/>
              </w:rPr>
              <w:t>built-in</w:t>
            </w:r>
            <w:r w:rsidRPr="00B96F50">
              <w:rPr>
                <w:rFonts w:eastAsia="Times New Roman"/>
                <w:i/>
                <w:iCs/>
              </w:rPr>
              <w:t xml:space="preserve"> robustness as we know from traditional assumption lean estimation </w:t>
            </w:r>
            <w:r w:rsidR="00553478" w:rsidRPr="00B96F50">
              <w:rPr>
                <w:rFonts w:eastAsia="Times New Roman"/>
                <w:i/>
                <w:iCs/>
              </w:rPr>
              <w:t>procedures,</w:t>
            </w:r>
            <w:r w:rsidRPr="00B96F50">
              <w:rPr>
                <w:rFonts w:eastAsia="Times New Roman"/>
                <w:i/>
                <w:iCs/>
              </w:rPr>
              <w:t xml:space="preserve"> we util</w:t>
            </w:r>
            <w:r w:rsidR="00A13C48" w:rsidRPr="00B96F50">
              <w:rPr>
                <w:rFonts w:eastAsia="Times New Roman"/>
                <w:i/>
                <w:iCs/>
              </w:rPr>
              <w:t>is</w:t>
            </w:r>
            <w:r w:rsidRPr="00B96F50">
              <w:rPr>
                <w:rFonts w:eastAsia="Times New Roman"/>
                <w:i/>
                <w:iCs/>
              </w:rPr>
              <w:t>e for RCTs</w:t>
            </w:r>
          </w:p>
          <w:p w14:paraId="28F0EE20" w14:textId="77777777" w:rsidR="00B7002F" w:rsidRPr="00B96F50" w:rsidRDefault="00B7002F" w:rsidP="00B7002F">
            <w:pPr>
              <w:pStyle w:val="ListParagraph"/>
              <w:numPr>
                <w:ilvl w:val="0"/>
                <w:numId w:val="21"/>
              </w:numPr>
              <w:rPr>
                <w:rFonts w:eastAsia="Times New Roman"/>
                <w:i/>
                <w:iCs/>
              </w:rPr>
            </w:pPr>
            <w:r w:rsidRPr="00B96F50">
              <w:rPr>
                <w:rFonts w:eastAsia="Times New Roman"/>
                <w:i/>
                <w:iCs/>
              </w:rPr>
              <w:t>Are ensured to be more efficient than the traditional estimation procedures</w:t>
            </w:r>
          </w:p>
          <w:p w14:paraId="3DEC1ADD" w14:textId="77777777" w:rsidR="00B7002F" w:rsidRPr="00B96F50" w:rsidRDefault="00B7002F" w:rsidP="00B7002F">
            <w:pPr>
              <w:rPr>
                <w:rFonts w:eastAsia="Times New Roman"/>
                <w:i/>
                <w:iCs/>
              </w:rPr>
            </w:pPr>
          </w:p>
          <w:p w14:paraId="25CF76F0" w14:textId="7C4E16F8" w:rsidR="00B7002F" w:rsidRPr="00B96F50" w:rsidRDefault="00B7002F" w:rsidP="00B7002F">
            <w:pPr>
              <w:rPr>
                <w:rFonts w:eastAsia="Times New Roman"/>
                <w:i/>
                <w:iCs/>
              </w:rPr>
            </w:pPr>
            <w:r w:rsidRPr="00B96F50">
              <w:rPr>
                <w:rFonts w:eastAsia="Times New Roman"/>
                <w:i/>
                <w:iCs/>
              </w:rPr>
              <w:t>Intuitively targeted learning builds on util</w:t>
            </w:r>
            <w:r w:rsidR="00A13C48" w:rsidRPr="00B96F50">
              <w:rPr>
                <w:rFonts w:eastAsia="Times New Roman"/>
                <w:i/>
                <w:iCs/>
              </w:rPr>
              <w:t>is</w:t>
            </w:r>
            <w:r w:rsidRPr="00B96F50">
              <w:rPr>
                <w:rFonts w:eastAsia="Times New Roman"/>
                <w:i/>
                <w:iCs/>
              </w:rPr>
              <w:t>ing predictions of individual endpoints based on a set of available baseline covariates that are ensured to be independent of random</w:t>
            </w:r>
            <w:r w:rsidR="00A13C48" w:rsidRPr="00B96F50">
              <w:rPr>
                <w:rFonts w:eastAsia="Times New Roman"/>
                <w:i/>
                <w:iCs/>
              </w:rPr>
              <w:t>is</w:t>
            </w:r>
            <w:r w:rsidRPr="00B96F50">
              <w:rPr>
                <w:rFonts w:eastAsia="Times New Roman"/>
                <w:i/>
                <w:iCs/>
              </w:rPr>
              <w:t>ed treatment. As such two strategies emerge:</w:t>
            </w:r>
          </w:p>
          <w:p w14:paraId="2312A92F" w14:textId="77777777" w:rsidR="00B7002F" w:rsidRPr="00B96F50" w:rsidRDefault="00B7002F" w:rsidP="00B7002F">
            <w:pPr>
              <w:rPr>
                <w:rFonts w:eastAsia="Times New Roman"/>
                <w:i/>
                <w:iCs/>
              </w:rPr>
            </w:pPr>
          </w:p>
          <w:p w14:paraId="1DF13B4E" w14:textId="1500B695" w:rsidR="00B7002F" w:rsidRPr="00B96F50" w:rsidRDefault="00B7002F" w:rsidP="00B7002F">
            <w:pPr>
              <w:pStyle w:val="ListParagraph"/>
              <w:numPr>
                <w:ilvl w:val="0"/>
                <w:numId w:val="22"/>
              </w:numPr>
              <w:rPr>
                <w:rFonts w:eastAsia="Times New Roman"/>
                <w:i/>
                <w:iCs/>
              </w:rPr>
            </w:pPr>
            <w:r w:rsidRPr="00B96F50">
              <w:rPr>
                <w:rFonts w:eastAsia="Times New Roman"/>
                <w:i/>
                <w:iCs/>
              </w:rPr>
              <w:t xml:space="preserve">Predictions can be “learned” from standard </w:t>
            </w:r>
            <w:r w:rsidR="00553478" w:rsidRPr="00B96F50">
              <w:rPr>
                <w:rFonts w:eastAsia="Times New Roman"/>
                <w:i/>
                <w:iCs/>
              </w:rPr>
              <w:t>working regression</w:t>
            </w:r>
            <w:r w:rsidRPr="00B96F50">
              <w:rPr>
                <w:rFonts w:eastAsia="Times New Roman"/>
                <w:i/>
                <w:iCs/>
              </w:rPr>
              <w:t xml:space="preserve"> models, such as generalised linear models </w:t>
            </w:r>
          </w:p>
          <w:p w14:paraId="4A7CE0E6" w14:textId="77777777" w:rsidR="00B7002F" w:rsidRPr="00B96F50" w:rsidRDefault="00B7002F" w:rsidP="00B7002F">
            <w:pPr>
              <w:pStyle w:val="ListParagraph"/>
              <w:numPr>
                <w:ilvl w:val="0"/>
                <w:numId w:val="22"/>
              </w:numPr>
              <w:rPr>
                <w:rFonts w:eastAsia="Times New Roman"/>
                <w:i/>
                <w:iCs/>
              </w:rPr>
            </w:pPr>
            <w:r w:rsidRPr="00B96F50">
              <w:rPr>
                <w:rFonts w:eastAsia="Times New Roman"/>
                <w:i/>
                <w:iCs/>
              </w:rPr>
              <w:t xml:space="preserve">Predictions can be “learned” using data adaptive machine learning algorithms such as super-learner (van der Laan, Mark J. "Targeted Maximum Likelihood Based Causal Inference: Part I" The International </w:t>
            </w:r>
            <w:r w:rsidRPr="00B96F50">
              <w:rPr>
                <w:rFonts w:eastAsia="Times New Roman"/>
                <w:i/>
                <w:iCs/>
              </w:rPr>
              <w:lastRenderedPageBreak/>
              <w:t xml:space="preserve">Journal of Biostatistics, vol. 6, no. 2, 2010. </w:t>
            </w:r>
            <w:hyperlink r:id="rId15" w:history="1">
              <w:r w:rsidRPr="00B96F50">
                <w:rPr>
                  <w:rStyle w:val="Hyperlink"/>
                  <w:rFonts w:eastAsia="Times New Roman"/>
                  <w:i/>
                  <w:iCs/>
                  <w:color w:val="auto"/>
                </w:rPr>
                <w:t>https://doi.org/10.2202/1557-4679.1211</w:t>
              </w:r>
            </w:hyperlink>
            <w:r w:rsidRPr="00B96F50">
              <w:rPr>
                <w:rFonts w:eastAsia="Times New Roman"/>
                <w:i/>
                <w:iCs/>
              </w:rPr>
              <w:t>)</w:t>
            </w:r>
          </w:p>
          <w:p w14:paraId="33CCAEEC" w14:textId="77777777" w:rsidR="00B7002F" w:rsidRPr="00B96F50" w:rsidRDefault="00B7002F" w:rsidP="00B7002F">
            <w:pPr>
              <w:rPr>
                <w:rFonts w:eastAsia="Times New Roman"/>
                <w:i/>
                <w:iCs/>
              </w:rPr>
            </w:pPr>
          </w:p>
          <w:p w14:paraId="4E5F65A1" w14:textId="77777777" w:rsidR="00B7002F" w:rsidRPr="00B96F50" w:rsidRDefault="00B7002F" w:rsidP="00B7002F">
            <w:pPr>
              <w:rPr>
                <w:i/>
                <w:iCs/>
              </w:rPr>
            </w:pPr>
            <w:r w:rsidRPr="00B96F50">
              <w:rPr>
                <w:rFonts w:eastAsia="Times New Roman"/>
                <w:i/>
                <w:iCs/>
              </w:rPr>
              <w:t xml:space="preserve">For the first strategy pre-specification is relatively straightforward, however, efficiency gains may be limited if predictions are not adequately reflecting the true data generating mechanism. The second approach typically ensures much better predictions and thus a better efficiency gain, but it is impossible to pre-specify to the level of detail when using the first approach, though it would be possible to pre-specify </w:t>
            </w:r>
            <w:r w:rsidRPr="00B96F50">
              <w:rPr>
                <w:i/>
                <w:iCs/>
              </w:rPr>
              <w:t xml:space="preserve">the selection algorithm rather than the variables themselves. This approach is further appealing as it allows for use of complex models or machine learning algorithms without compromising model-free estimands or statistical guarantees, even in the presence of mis-specified outcome working models </w:t>
            </w:r>
            <w:hyperlink r:id="rId16" w:history="1">
              <w:r w:rsidRPr="00B96F50">
                <w:rPr>
                  <w:rStyle w:val="Hyperlink"/>
                  <w:i/>
                  <w:iCs/>
                  <w:color w:val="auto"/>
                </w:rPr>
                <w:t>(e.g. van Lancker et al 2024). </w:t>
              </w:r>
            </w:hyperlink>
          </w:p>
          <w:p w14:paraId="3CCABFC9" w14:textId="77777777" w:rsidR="00B7002F" w:rsidRPr="00B96F50" w:rsidRDefault="00B7002F" w:rsidP="00B7002F">
            <w:pPr>
              <w:rPr>
                <w:rFonts w:eastAsia="Times New Roman"/>
                <w:i/>
                <w:iCs/>
              </w:rPr>
            </w:pPr>
          </w:p>
          <w:p w14:paraId="492C43E2" w14:textId="77777777" w:rsidR="00B7002F" w:rsidRPr="00B96F50" w:rsidRDefault="00B7002F" w:rsidP="00B7002F">
            <w:pPr>
              <w:rPr>
                <w:rFonts w:eastAsia="Times New Roman"/>
                <w:i/>
                <w:iCs/>
              </w:rPr>
            </w:pPr>
            <w:r w:rsidRPr="00B96F50">
              <w:rPr>
                <w:rFonts w:eastAsia="Times New Roman"/>
                <w:i/>
                <w:iCs/>
              </w:rPr>
              <w:t>Question to MHRA:</w:t>
            </w:r>
          </w:p>
          <w:p w14:paraId="423501FA" w14:textId="77777777" w:rsidR="00B7002F" w:rsidRPr="00B96F50" w:rsidRDefault="00B7002F" w:rsidP="00B7002F">
            <w:pPr>
              <w:pStyle w:val="ListParagraph"/>
              <w:numPr>
                <w:ilvl w:val="0"/>
                <w:numId w:val="18"/>
              </w:numPr>
              <w:rPr>
                <w:rFonts w:eastAsia="Times New Roman"/>
                <w:i/>
                <w:iCs/>
              </w:rPr>
            </w:pPr>
            <w:r w:rsidRPr="00B96F50">
              <w:rPr>
                <w:rFonts w:eastAsia="Times New Roman"/>
                <w:i/>
                <w:iCs/>
              </w:rPr>
              <w:t xml:space="preserve">Have MHRA endorsed any confirmatory trials where the primary analysis is based on any of these strategies (e.g. pre-specification of a covariate selection algorithm)? </w:t>
            </w:r>
          </w:p>
          <w:p w14:paraId="0699BB9A" w14:textId="77777777" w:rsidR="00B7002F" w:rsidRPr="00B96F50" w:rsidRDefault="00B7002F" w:rsidP="00B7002F">
            <w:pPr>
              <w:pStyle w:val="ListParagraph"/>
              <w:numPr>
                <w:ilvl w:val="0"/>
                <w:numId w:val="18"/>
              </w:numPr>
              <w:rPr>
                <w:rFonts w:eastAsia="Times New Roman"/>
                <w:i/>
                <w:iCs/>
              </w:rPr>
            </w:pPr>
            <w:r w:rsidRPr="00B96F50">
              <w:rPr>
                <w:rFonts w:eastAsia="Times New Roman"/>
                <w:i/>
                <w:iCs/>
              </w:rPr>
              <w:t xml:space="preserve">What level of pre-specification is required for such approaches to be endorsed by MHRA?  </w:t>
            </w:r>
          </w:p>
          <w:p w14:paraId="52BEA603" w14:textId="77777777" w:rsidR="00B7002F" w:rsidRPr="00B96F50" w:rsidRDefault="00B7002F" w:rsidP="00B7002F">
            <w:pPr>
              <w:pStyle w:val="ListParagraph"/>
              <w:numPr>
                <w:ilvl w:val="0"/>
                <w:numId w:val="18"/>
              </w:numPr>
              <w:rPr>
                <w:rFonts w:eastAsia="Times New Roman"/>
                <w:i/>
                <w:iCs/>
              </w:rPr>
            </w:pPr>
            <w:r w:rsidRPr="00B96F50">
              <w:rPr>
                <w:rFonts w:eastAsia="Times New Roman"/>
                <w:i/>
                <w:iCs/>
              </w:rPr>
              <w:t xml:space="preserve">In general, what are/would be the requirements for such approaches to be endorsed by MHRA? </w:t>
            </w:r>
            <w:bookmarkEnd w:id="0"/>
            <w:r w:rsidRPr="00B96F50">
              <w:rPr>
                <w:rFonts w:eastAsia="Times New Roman"/>
                <w:i/>
                <w:iCs/>
              </w:rPr>
              <w:t xml:space="preserve">      </w:t>
            </w:r>
          </w:p>
          <w:p w14:paraId="76F39B3A" w14:textId="77777777" w:rsidR="00B7002F" w:rsidRPr="00B96F50" w:rsidRDefault="00B7002F" w:rsidP="00B7002F">
            <w:pPr>
              <w:rPr>
                <w:rFonts w:eastAsia="Times New Roman"/>
                <w:i/>
                <w:iCs/>
              </w:rPr>
            </w:pPr>
          </w:p>
          <w:p w14:paraId="6B86B1DF" w14:textId="25A1D8AD" w:rsidR="006F356C" w:rsidRPr="00B96F50" w:rsidRDefault="00D0342E" w:rsidP="00B7002F">
            <w:pPr>
              <w:rPr>
                <w:rFonts w:eastAsia="Times New Roman"/>
              </w:rPr>
            </w:pPr>
            <w:r>
              <w:rPr>
                <w:rFonts w:eastAsia="Times New Roman"/>
              </w:rPr>
              <w:t>MHRA Team</w:t>
            </w:r>
            <w:r w:rsidR="00B7002F" w:rsidRPr="00B96F50">
              <w:rPr>
                <w:rFonts w:eastAsia="Times New Roman"/>
              </w:rPr>
              <w:t xml:space="preserve"> </w:t>
            </w:r>
            <w:r w:rsidR="0096369C">
              <w:rPr>
                <w:rFonts w:eastAsia="Times New Roman"/>
              </w:rPr>
              <w:t>confirmed</w:t>
            </w:r>
            <w:r w:rsidR="0096369C" w:rsidRPr="00B96F50">
              <w:rPr>
                <w:rFonts w:eastAsia="Times New Roman"/>
              </w:rPr>
              <w:t xml:space="preserve"> </w:t>
            </w:r>
            <w:r w:rsidR="00B7002F" w:rsidRPr="00B96F50">
              <w:rPr>
                <w:rFonts w:eastAsia="Times New Roman"/>
              </w:rPr>
              <w:t xml:space="preserve">that there is a need for pre-specification in line with the </w:t>
            </w:r>
            <w:r w:rsidR="7DFA31A7" w:rsidRPr="7A963B96">
              <w:rPr>
                <w:rFonts w:eastAsia="Times New Roman"/>
              </w:rPr>
              <w:t xml:space="preserve">CHMP </w:t>
            </w:r>
            <w:r w:rsidR="00B7002F" w:rsidRPr="00B96F50">
              <w:rPr>
                <w:rFonts w:eastAsia="Times New Roman"/>
              </w:rPr>
              <w:t>guideline on adjustment for baseline covariates in clinical trials as well as ICH E9.</w:t>
            </w:r>
            <w:r w:rsidR="00A13C48" w:rsidRPr="00B96F50">
              <w:rPr>
                <w:rFonts w:eastAsia="Times New Roman"/>
              </w:rPr>
              <w:t xml:space="preserve"> </w:t>
            </w:r>
            <w:r w:rsidR="00B7002F" w:rsidRPr="00B96F50">
              <w:rPr>
                <w:rFonts w:eastAsia="Times New Roman"/>
              </w:rPr>
              <w:t xml:space="preserve">Though, </w:t>
            </w:r>
            <w:r w:rsidR="00A4016B">
              <w:rPr>
                <w:rFonts w:eastAsia="Times New Roman"/>
              </w:rPr>
              <w:t>MHRA Team</w:t>
            </w:r>
            <w:r w:rsidR="00A4016B" w:rsidRPr="00B96F50">
              <w:rPr>
                <w:rFonts w:eastAsia="Times New Roman"/>
              </w:rPr>
              <w:t xml:space="preserve"> </w:t>
            </w:r>
            <w:r w:rsidR="00913116" w:rsidRPr="00B96F50">
              <w:rPr>
                <w:rFonts w:eastAsia="Times New Roman"/>
              </w:rPr>
              <w:t>mentioned</w:t>
            </w:r>
            <w:r w:rsidR="00B7002F" w:rsidRPr="00B96F50">
              <w:rPr>
                <w:rFonts w:eastAsia="Times New Roman"/>
              </w:rPr>
              <w:t xml:space="preserve"> that MHRA would be very </w:t>
            </w:r>
            <w:r w:rsidR="00A13C48" w:rsidRPr="00B96F50">
              <w:rPr>
                <w:rFonts w:eastAsia="Times New Roman"/>
              </w:rPr>
              <w:t>interested</w:t>
            </w:r>
            <w:r w:rsidR="00B7002F" w:rsidRPr="00B96F50">
              <w:rPr>
                <w:rFonts w:eastAsia="Times New Roman"/>
              </w:rPr>
              <w:t xml:space="preserve"> to learn more if there are new methods that may be used. Due to </w:t>
            </w:r>
            <w:r w:rsidR="00D46BA7" w:rsidRPr="00B96F50">
              <w:rPr>
                <w:rFonts w:eastAsia="Times New Roman"/>
              </w:rPr>
              <w:t xml:space="preserve">time </w:t>
            </w:r>
            <w:r w:rsidR="00D46BA7">
              <w:rPr>
                <w:rFonts w:eastAsia="Times New Roman"/>
              </w:rPr>
              <w:t>and</w:t>
            </w:r>
            <w:r w:rsidR="005012AF">
              <w:rPr>
                <w:rFonts w:eastAsia="Times New Roman"/>
              </w:rPr>
              <w:t xml:space="preserve"> </w:t>
            </w:r>
            <w:r w:rsidR="00B7002F" w:rsidRPr="00B96F50">
              <w:rPr>
                <w:rFonts w:eastAsia="Times New Roman"/>
              </w:rPr>
              <w:t>resource</w:t>
            </w:r>
            <w:r w:rsidR="005012AF">
              <w:rPr>
                <w:rFonts w:eastAsia="Times New Roman"/>
              </w:rPr>
              <w:t xml:space="preserve"> constraints</w:t>
            </w:r>
            <w:r w:rsidR="00B7002F" w:rsidRPr="00B96F50">
              <w:rPr>
                <w:rFonts w:eastAsia="Times New Roman"/>
              </w:rPr>
              <w:t xml:space="preserve">, MHRA did not review the manuscripts provided </w:t>
            </w:r>
            <w:r w:rsidR="0054518A">
              <w:rPr>
                <w:rFonts w:eastAsia="Times New Roman"/>
              </w:rPr>
              <w:t xml:space="preserve">in detail, </w:t>
            </w:r>
            <w:r w:rsidR="00B7002F" w:rsidRPr="00B96F50">
              <w:rPr>
                <w:rFonts w:eastAsia="Times New Roman"/>
              </w:rPr>
              <w:t xml:space="preserve">and therefore at this stage </w:t>
            </w:r>
            <w:r w:rsidR="008C06CD" w:rsidRPr="00B96F50">
              <w:rPr>
                <w:rFonts w:eastAsia="Times New Roman"/>
              </w:rPr>
              <w:t>cannot comment</w:t>
            </w:r>
            <w:r w:rsidR="5016F8E4" w:rsidRPr="7A963B96">
              <w:rPr>
                <w:rFonts w:eastAsia="Times New Roman"/>
              </w:rPr>
              <w:t xml:space="preserve"> on</w:t>
            </w:r>
            <w:r w:rsidR="00B7002F" w:rsidRPr="7A963B96">
              <w:rPr>
                <w:rFonts w:eastAsia="Times New Roman"/>
              </w:rPr>
              <w:t xml:space="preserve"> </w:t>
            </w:r>
            <w:r w:rsidR="00B7002F" w:rsidRPr="00B96F50">
              <w:rPr>
                <w:rFonts w:eastAsia="Times New Roman"/>
              </w:rPr>
              <w:t>what could be appropriate and acceptable</w:t>
            </w:r>
            <w:r w:rsidR="00A94EB8">
              <w:rPr>
                <w:rFonts w:eastAsia="Times New Roman"/>
              </w:rPr>
              <w:t>.</w:t>
            </w:r>
            <w:r w:rsidR="00A4016B">
              <w:rPr>
                <w:rFonts w:eastAsia="Times New Roman"/>
              </w:rPr>
              <w:t xml:space="preserve"> </w:t>
            </w:r>
            <w:r w:rsidR="00A94EB8">
              <w:rPr>
                <w:rFonts w:eastAsia="Times New Roman"/>
              </w:rPr>
              <w:t>T</w:t>
            </w:r>
            <w:r w:rsidR="00B7002F" w:rsidRPr="00B96F50">
              <w:rPr>
                <w:rFonts w:eastAsia="Times New Roman"/>
              </w:rPr>
              <w:t>hough</w:t>
            </w:r>
            <w:r w:rsidR="00A94EB8">
              <w:rPr>
                <w:rFonts w:eastAsia="Times New Roman"/>
              </w:rPr>
              <w:t>,</w:t>
            </w:r>
            <w:r w:rsidR="00B7002F" w:rsidRPr="00B96F50">
              <w:rPr>
                <w:rFonts w:eastAsia="Times New Roman"/>
              </w:rPr>
              <w:t xml:space="preserve"> the broad scope advice option or regular scientific advice </w:t>
            </w:r>
            <w:r w:rsidR="0DE00671" w:rsidRPr="7A963B96">
              <w:rPr>
                <w:rFonts w:eastAsia="Times New Roman"/>
              </w:rPr>
              <w:t xml:space="preserve">are available for </w:t>
            </w:r>
            <w:r w:rsidR="008C06CD" w:rsidRPr="7A963B96">
              <w:rPr>
                <w:rFonts w:eastAsia="Times New Roman"/>
              </w:rPr>
              <w:t xml:space="preserve">discussing </w:t>
            </w:r>
            <w:r w:rsidR="008C06CD" w:rsidRPr="00B96F50">
              <w:rPr>
                <w:rFonts w:eastAsia="Times New Roman"/>
              </w:rPr>
              <w:t>new</w:t>
            </w:r>
            <w:r w:rsidR="00B7002F" w:rsidRPr="00B96F50">
              <w:rPr>
                <w:rFonts w:eastAsia="Times New Roman"/>
              </w:rPr>
              <w:t xml:space="preserve"> methods. </w:t>
            </w:r>
            <w:r w:rsidR="4E24D973" w:rsidRPr="7A963B96">
              <w:rPr>
                <w:rFonts w:eastAsia="Times New Roman"/>
              </w:rPr>
              <w:t xml:space="preserve">There is also an opportunity </w:t>
            </w:r>
            <w:r w:rsidR="0BDFEBAF" w:rsidRPr="7A963B96">
              <w:rPr>
                <w:rFonts w:eastAsia="Times New Roman"/>
              </w:rPr>
              <w:t>for these to be</w:t>
            </w:r>
            <w:r w:rsidR="00B7002F" w:rsidRPr="00B96F50">
              <w:rPr>
                <w:rFonts w:eastAsia="Times New Roman"/>
              </w:rPr>
              <w:t xml:space="preserve"> explored as part of the ILAP re-launch where new tools are available. In addition, as part of the MHRA data strategy, these methods could be part of a data strategy and endpoint qualification process</w:t>
            </w:r>
            <w:r w:rsidR="004E3C7E">
              <w:rPr>
                <w:rFonts w:eastAsia="Times New Roman"/>
              </w:rPr>
              <w:t>, which is planned as a future tool</w:t>
            </w:r>
            <w:r w:rsidR="00B7002F" w:rsidRPr="00B96F50">
              <w:rPr>
                <w:rFonts w:eastAsia="Times New Roman"/>
              </w:rPr>
              <w:t>.</w:t>
            </w:r>
          </w:p>
          <w:p w14:paraId="6A460253" w14:textId="77777777" w:rsidR="00D5121B" w:rsidRPr="00B96F50" w:rsidRDefault="00D5121B" w:rsidP="00B7002F">
            <w:pPr>
              <w:rPr>
                <w:rFonts w:eastAsia="Times New Roman"/>
              </w:rPr>
            </w:pPr>
          </w:p>
          <w:p w14:paraId="0B268F75" w14:textId="37A29DB8" w:rsidR="00B7002F" w:rsidRPr="00B96F50" w:rsidRDefault="00D0342E" w:rsidP="00B7002F">
            <w:pPr>
              <w:rPr>
                <w:rFonts w:eastAsia="Times New Roman"/>
              </w:rPr>
            </w:pPr>
            <w:r>
              <w:rPr>
                <w:rFonts w:eastAsia="Times New Roman"/>
              </w:rPr>
              <w:t>MHRA Team</w:t>
            </w:r>
            <w:r w:rsidR="00B7002F" w:rsidRPr="00B96F50">
              <w:rPr>
                <w:rFonts w:eastAsia="Times New Roman"/>
              </w:rPr>
              <w:t xml:space="preserve"> </w:t>
            </w:r>
            <w:r w:rsidR="00913116" w:rsidRPr="00B96F50">
              <w:rPr>
                <w:rFonts w:eastAsia="Times New Roman"/>
              </w:rPr>
              <w:t>acknowledged</w:t>
            </w:r>
            <w:r w:rsidR="00B7002F" w:rsidRPr="00B96F50">
              <w:rPr>
                <w:rFonts w:eastAsia="Times New Roman"/>
              </w:rPr>
              <w:t xml:space="preserve"> that these methods have not been endorsed for any trial, since MHRA has not received any</w:t>
            </w:r>
            <w:r w:rsidR="00E044DA">
              <w:rPr>
                <w:rFonts w:eastAsia="Times New Roman"/>
              </w:rPr>
              <w:t xml:space="preserve"> such proposals</w:t>
            </w:r>
            <w:r w:rsidR="00B7002F" w:rsidRPr="00B96F50">
              <w:rPr>
                <w:rFonts w:eastAsia="Times New Roman"/>
              </w:rPr>
              <w:t>. The level of pre-specification would need to be discussed, justified and pre-agreed with MHRA</w:t>
            </w:r>
            <w:r w:rsidR="006117B7">
              <w:rPr>
                <w:rFonts w:eastAsia="Times New Roman"/>
              </w:rPr>
              <w:t>. A</w:t>
            </w:r>
            <w:r w:rsidR="00D73306">
              <w:rPr>
                <w:rFonts w:eastAsia="Times New Roman"/>
              </w:rPr>
              <w:t xml:space="preserve">cceptability would be a </w:t>
            </w:r>
            <w:r w:rsidR="00637412">
              <w:rPr>
                <w:rFonts w:eastAsia="Times New Roman"/>
              </w:rPr>
              <w:t>case-by-case</w:t>
            </w:r>
            <w:r w:rsidR="00D73306">
              <w:rPr>
                <w:rFonts w:eastAsia="Times New Roman"/>
              </w:rPr>
              <w:t xml:space="preserve"> decision</w:t>
            </w:r>
            <w:r w:rsidR="00B7002F" w:rsidRPr="00B96F50">
              <w:rPr>
                <w:rFonts w:eastAsia="Times New Roman"/>
              </w:rPr>
              <w:t xml:space="preserve">. </w:t>
            </w:r>
            <w:r>
              <w:rPr>
                <w:rFonts w:eastAsia="Times New Roman"/>
              </w:rPr>
              <w:t>MHRA Team</w:t>
            </w:r>
            <w:r w:rsidR="00B7002F" w:rsidRPr="00B96F50">
              <w:rPr>
                <w:rFonts w:eastAsia="Times New Roman"/>
              </w:rPr>
              <w:t xml:space="preserve"> acknowledged that these methodologies could help to gain efficiencies.</w:t>
            </w:r>
          </w:p>
          <w:p w14:paraId="5E71F511" w14:textId="77777777" w:rsidR="00882517" w:rsidRPr="00B96F50" w:rsidRDefault="00882517" w:rsidP="00B7002F">
            <w:pPr>
              <w:rPr>
                <w:rFonts w:eastAsia="Times New Roman"/>
              </w:rPr>
            </w:pPr>
          </w:p>
          <w:p w14:paraId="615A32E0" w14:textId="69972CFF" w:rsidR="00B7002F" w:rsidRPr="00B96F50" w:rsidRDefault="00D0342E" w:rsidP="00B7002F">
            <w:pPr>
              <w:rPr>
                <w:rFonts w:eastAsia="Times New Roman"/>
              </w:rPr>
            </w:pPr>
            <w:r>
              <w:rPr>
                <w:rFonts w:eastAsia="Times New Roman"/>
              </w:rPr>
              <w:t>MHRA Team</w:t>
            </w:r>
            <w:r w:rsidR="00B7002F" w:rsidRPr="00B96F50">
              <w:rPr>
                <w:rFonts w:eastAsia="Times New Roman"/>
              </w:rPr>
              <w:t xml:space="preserve"> clarified </w:t>
            </w:r>
            <w:r w:rsidR="00D13677">
              <w:rPr>
                <w:rFonts w:eastAsia="Times New Roman"/>
              </w:rPr>
              <w:t>t</w:t>
            </w:r>
            <w:r w:rsidR="00B7002F" w:rsidRPr="00B96F50">
              <w:rPr>
                <w:rFonts w:eastAsia="Times New Roman"/>
              </w:rPr>
              <w:t>he</w:t>
            </w:r>
            <w:r w:rsidR="00D13677">
              <w:rPr>
                <w:rFonts w:eastAsia="Times New Roman"/>
              </w:rPr>
              <w:t>i</w:t>
            </w:r>
            <w:r w:rsidR="00B7002F" w:rsidRPr="00B96F50">
              <w:rPr>
                <w:rFonts w:eastAsia="Times New Roman"/>
              </w:rPr>
              <w:t>r understanding that the algorithm would be pre-specif</w:t>
            </w:r>
            <w:r w:rsidR="00882517" w:rsidRPr="00B96F50">
              <w:rPr>
                <w:rFonts w:eastAsia="Times New Roman"/>
              </w:rPr>
              <w:t>ied</w:t>
            </w:r>
            <w:r w:rsidR="00B7002F" w:rsidRPr="00B96F50">
              <w:rPr>
                <w:rFonts w:eastAsia="Times New Roman"/>
              </w:rPr>
              <w:t xml:space="preserve"> but not the covariate adjustment. </w:t>
            </w:r>
            <w:r w:rsidR="00297CDF">
              <w:rPr>
                <w:rFonts w:eastAsia="Times New Roman"/>
              </w:rPr>
              <w:t>MHRA Team</w:t>
            </w:r>
            <w:r w:rsidR="00297CDF" w:rsidRPr="00B96F50">
              <w:rPr>
                <w:rFonts w:eastAsia="Times New Roman"/>
              </w:rPr>
              <w:t xml:space="preserve"> </w:t>
            </w:r>
            <w:r w:rsidR="00913116" w:rsidRPr="00B96F50">
              <w:rPr>
                <w:rFonts w:eastAsia="Times New Roman"/>
              </w:rPr>
              <w:t xml:space="preserve">questioned </w:t>
            </w:r>
            <w:r w:rsidR="00B7002F" w:rsidRPr="00B96F50">
              <w:rPr>
                <w:rFonts w:eastAsia="Times New Roman"/>
              </w:rPr>
              <w:t>the generali</w:t>
            </w:r>
            <w:r w:rsidR="00A13C48" w:rsidRPr="00B96F50">
              <w:rPr>
                <w:rFonts w:eastAsia="Times New Roman"/>
              </w:rPr>
              <w:t>s</w:t>
            </w:r>
            <w:r w:rsidR="00B7002F" w:rsidRPr="00B96F50">
              <w:rPr>
                <w:rFonts w:eastAsia="Times New Roman"/>
              </w:rPr>
              <w:t xml:space="preserve">ability of the data outside of main study and more specifically what </w:t>
            </w:r>
            <w:r w:rsidR="00B13C18" w:rsidRPr="00B96F50">
              <w:rPr>
                <w:rFonts w:eastAsia="Times New Roman"/>
              </w:rPr>
              <w:t>the impact on the selection of variables is</w:t>
            </w:r>
            <w:r w:rsidR="00B7002F" w:rsidRPr="00B96F50">
              <w:rPr>
                <w:rFonts w:eastAsia="Times New Roman"/>
              </w:rPr>
              <w:t xml:space="preserve"> if new data emerges and how to communicate the results </w:t>
            </w:r>
            <w:r w:rsidR="369364DB" w:rsidRPr="7A963B96">
              <w:rPr>
                <w:rFonts w:eastAsia="Times New Roman"/>
              </w:rPr>
              <w:t>from</w:t>
            </w:r>
            <w:r w:rsidR="00B7002F" w:rsidRPr="00B96F50">
              <w:rPr>
                <w:rFonts w:eastAsia="Times New Roman"/>
              </w:rPr>
              <w:t xml:space="preserve"> this type of analysis.</w:t>
            </w:r>
          </w:p>
          <w:p w14:paraId="0F9C74A9" w14:textId="77777777" w:rsidR="00297CDF" w:rsidRPr="00B96F50" w:rsidRDefault="00297CDF" w:rsidP="00B7002F">
            <w:pPr>
              <w:rPr>
                <w:rFonts w:eastAsia="Times New Roman"/>
              </w:rPr>
            </w:pPr>
          </w:p>
          <w:p w14:paraId="5C5E9E21" w14:textId="1ED57A89" w:rsidR="00B7002F" w:rsidRPr="00B96F50" w:rsidRDefault="00D0342E" w:rsidP="00B7002F">
            <w:pPr>
              <w:rPr>
                <w:rFonts w:eastAsia="Times New Roman"/>
              </w:rPr>
            </w:pPr>
            <w:r>
              <w:rPr>
                <w:rFonts w:eastAsia="Times New Roman"/>
              </w:rPr>
              <w:t>EFSPI</w:t>
            </w:r>
            <w:r w:rsidR="00B7002F" w:rsidRPr="00B96F50">
              <w:rPr>
                <w:rFonts w:eastAsia="Times New Roman"/>
              </w:rPr>
              <w:t xml:space="preserve"> explained that in a clinical trial, the relevant variables are identified </w:t>
            </w:r>
            <w:r w:rsidR="00B13C18" w:rsidRPr="00B96F50">
              <w:rPr>
                <w:rFonts w:eastAsia="Times New Roman"/>
              </w:rPr>
              <w:t xml:space="preserve">before the start of the trial </w:t>
            </w:r>
            <w:r w:rsidR="00CF3F3F" w:rsidRPr="00B96F50">
              <w:rPr>
                <w:rFonts w:eastAsia="Times New Roman"/>
              </w:rPr>
              <w:t>to</w:t>
            </w:r>
            <w:r w:rsidR="00B7002F" w:rsidRPr="00B96F50">
              <w:rPr>
                <w:rFonts w:eastAsia="Times New Roman"/>
              </w:rPr>
              <w:t xml:space="preserve"> be collected and then </w:t>
            </w:r>
            <w:r w:rsidR="00B13C18" w:rsidRPr="00B96F50">
              <w:rPr>
                <w:rFonts w:eastAsia="Times New Roman"/>
              </w:rPr>
              <w:t xml:space="preserve">would be </w:t>
            </w:r>
            <w:r w:rsidR="00B7002F" w:rsidRPr="00B96F50">
              <w:rPr>
                <w:rFonts w:eastAsia="Times New Roman"/>
              </w:rPr>
              <w:t>included in the model. Usually, the model is pre-specifi</w:t>
            </w:r>
            <w:r w:rsidR="00CF3F3F" w:rsidRPr="00B96F50">
              <w:rPr>
                <w:rFonts w:eastAsia="Times New Roman"/>
              </w:rPr>
              <w:t>ed</w:t>
            </w:r>
            <w:r w:rsidR="00B7002F" w:rsidRPr="00B96F50">
              <w:rPr>
                <w:rFonts w:eastAsia="Times New Roman"/>
              </w:rPr>
              <w:t xml:space="preserve"> with the relevant adjustment </w:t>
            </w:r>
            <w:r w:rsidR="00B7002F" w:rsidRPr="00B96F50">
              <w:rPr>
                <w:rFonts w:eastAsia="Times New Roman"/>
              </w:rPr>
              <w:lastRenderedPageBreak/>
              <w:t xml:space="preserve">covariates. However, some variables may not have been anticipated as relevant and therefore are not included in the model and therefore it should not endanger the </w:t>
            </w:r>
            <w:r w:rsidR="00CF3F3F" w:rsidRPr="00B96F50">
              <w:rPr>
                <w:rFonts w:eastAsia="Times New Roman"/>
              </w:rPr>
              <w:t>generali</w:t>
            </w:r>
            <w:r w:rsidR="00A13C48" w:rsidRPr="00B96F50">
              <w:rPr>
                <w:rFonts w:eastAsia="Times New Roman"/>
              </w:rPr>
              <w:t>s</w:t>
            </w:r>
            <w:r w:rsidR="00CF3F3F" w:rsidRPr="00B96F50">
              <w:rPr>
                <w:rFonts w:eastAsia="Times New Roman"/>
              </w:rPr>
              <w:t>ability</w:t>
            </w:r>
            <w:r w:rsidR="00B7002F" w:rsidRPr="00B96F50">
              <w:rPr>
                <w:rFonts w:eastAsia="Times New Roman"/>
              </w:rPr>
              <w:t xml:space="preserve"> of the results that stems from the similarity between the trial population and the overall population. These questions should not be different from the traditional approach and the model-based approach. The only difference would be that the ML approach would allow to use variables measured </w:t>
            </w:r>
            <w:r w:rsidR="006327D1" w:rsidRPr="00B96F50">
              <w:rPr>
                <w:rFonts w:eastAsia="Times New Roman"/>
              </w:rPr>
              <w:t>beforehand</w:t>
            </w:r>
            <w:r w:rsidR="00B7002F" w:rsidRPr="00B96F50">
              <w:rPr>
                <w:rFonts w:eastAsia="Times New Roman"/>
              </w:rPr>
              <w:t xml:space="preserve"> but that were not </w:t>
            </w:r>
            <w:r w:rsidR="00404305">
              <w:rPr>
                <w:rFonts w:eastAsia="Times New Roman"/>
              </w:rPr>
              <w:t>previously envisioned</w:t>
            </w:r>
            <w:r w:rsidR="00404305" w:rsidRPr="00B96F50">
              <w:rPr>
                <w:rFonts w:eastAsia="Times New Roman"/>
              </w:rPr>
              <w:t xml:space="preserve"> </w:t>
            </w:r>
            <w:r w:rsidR="00B7002F" w:rsidRPr="00B96F50">
              <w:rPr>
                <w:rFonts w:eastAsia="Times New Roman"/>
              </w:rPr>
              <w:t>as impacting the efficiency and robustness of the estimated treatment effect.</w:t>
            </w:r>
          </w:p>
          <w:p w14:paraId="65CA80A0" w14:textId="77777777" w:rsidR="00086549" w:rsidRPr="00B96F50" w:rsidRDefault="00086549" w:rsidP="00B7002F">
            <w:pPr>
              <w:rPr>
                <w:rFonts w:eastAsia="Times New Roman"/>
              </w:rPr>
            </w:pPr>
          </w:p>
          <w:p w14:paraId="34E54143" w14:textId="702204E9" w:rsidR="00B7002F" w:rsidRPr="00B96F50" w:rsidRDefault="00D0342E" w:rsidP="00B7002F">
            <w:pPr>
              <w:rPr>
                <w:rFonts w:eastAsia="Times New Roman"/>
              </w:rPr>
            </w:pPr>
            <w:r>
              <w:rPr>
                <w:rFonts w:eastAsia="Times New Roman"/>
              </w:rPr>
              <w:t>MHRA Team</w:t>
            </w:r>
            <w:r w:rsidR="00086549" w:rsidRPr="00B96F50">
              <w:rPr>
                <w:rFonts w:eastAsia="Times New Roman"/>
              </w:rPr>
              <w:t xml:space="preserve"> highlighted that</w:t>
            </w:r>
            <w:r w:rsidR="00B7002F" w:rsidRPr="00B96F50">
              <w:rPr>
                <w:rFonts w:eastAsia="Times New Roman"/>
              </w:rPr>
              <w:t xml:space="preserve"> </w:t>
            </w:r>
            <w:r w:rsidR="00086549" w:rsidRPr="00B96F50">
              <w:rPr>
                <w:rFonts w:eastAsia="Times New Roman"/>
              </w:rPr>
              <w:t>a</w:t>
            </w:r>
            <w:r w:rsidR="00B7002F" w:rsidRPr="00B96F50">
              <w:rPr>
                <w:rFonts w:eastAsia="Times New Roman"/>
              </w:rPr>
              <w:t xml:space="preserve">t the design stage, there can always be the issue of overfitting. </w:t>
            </w:r>
            <w:r>
              <w:rPr>
                <w:rFonts w:eastAsia="Times New Roman"/>
              </w:rPr>
              <w:t>MHRA Team</w:t>
            </w:r>
            <w:r w:rsidR="00B7002F" w:rsidRPr="00B96F50">
              <w:rPr>
                <w:rFonts w:eastAsia="Times New Roman"/>
              </w:rPr>
              <w:t xml:space="preserve"> questioned how this is handled with this type of approach.</w:t>
            </w:r>
          </w:p>
          <w:p w14:paraId="56813869" w14:textId="77777777" w:rsidR="00086549" w:rsidRPr="00B96F50" w:rsidRDefault="00086549" w:rsidP="00B7002F">
            <w:pPr>
              <w:rPr>
                <w:rFonts w:eastAsia="Times New Roman"/>
              </w:rPr>
            </w:pPr>
          </w:p>
          <w:p w14:paraId="5A05890C" w14:textId="0CF7AF62" w:rsidR="00B7002F" w:rsidRPr="00B96F50" w:rsidRDefault="00D0342E" w:rsidP="00B7002F">
            <w:pPr>
              <w:rPr>
                <w:rFonts w:eastAsia="Times New Roman"/>
              </w:rPr>
            </w:pPr>
            <w:r>
              <w:rPr>
                <w:rFonts w:eastAsia="Times New Roman"/>
              </w:rPr>
              <w:t>EFSPI</w:t>
            </w:r>
            <w:r w:rsidR="00B7002F" w:rsidRPr="00B96F50">
              <w:rPr>
                <w:rFonts w:eastAsia="Times New Roman"/>
              </w:rPr>
              <w:t xml:space="preserve"> explained that to his understanding overfitting is not an issue since the model is able to build itself to make best use of the data. Some variables may play a small role</w:t>
            </w:r>
            <w:r w:rsidR="00605B5B">
              <w:rPr>
                <w:rFonts w:eastAsia="Times New Roman"/>
              </w:rPr>
              <w:t xml:space="preserve">, but it is possible to prespecify the </w:t>
            </w:r>
            <w:r w:rsidR="00B83542">
              <w:rPr>
                <w:rFonts w:eastAsia="Times New Roman"/>
              </w:rPr>
              <w:t>entire large list of baseline covariates</w:t>
            </w:r>
            <w:r w:rsidR="00415B1F">
              <w:rPr>
                <w:rFonts w:eastAsia="Times New Roman"/>
              </w:rPr>
              <w:t xml:space="preserve"> which will</w:t>
            </w:r>
            <w:r w:rsidR="00BC0487">
              <w:rPr>
                <w:rFonts w:eastAsia="Times New Roman"/>
              </w:rPr>
              <w:t xml:space="preserve"> </w:t>
            </w:r>
            <w:r w:rsidR="00BC0487" w:rsidRPr="00952547">
              <w:rPr>
                <w:rFonts w:eastAsia="Times New Roman"/>
              </w:rPr>
              <w:t xml:space="preserve">go into </w:t>
            </w:r>
            <w:r w:rsidR="00BC0487">
              <w:rPr>
                <w:rFonts w:eastAsia="Times New Roman"/>
              </w:rPr>
              <w:t xml:space="preserve">the </w:t>
            </w:r>
            <w:r w:rsidR="00BC0487" w:rsidRPr="00952547">
              <w:rPr>
                <w:rFonts w:eastAsia="Times New Roman"/>
              </w:rPr>
              <w:t>prediction model</w:t>
            </w:r>
            <w:r w:rsidR="00BC0487">
              <w:rPr>
                <w:rFonts w:eastAsia="Times New Roman"/>
              </w:rPr>
              <w:t xml:space="preserve"> (although </w:t>
            </w:r>
            <w:r w:rsidR="00A62589">
              <w:rPr>
                <w:rFonts w:eastAsia="Times New Roman"/>
              </w:rPr>
              <w:t xml:space="preserve">it is not known up front </w:t>
            </w:r>
            <w:r w:rsidR="00BC0487" w:rsidRPr="00952547">
              <w:rPr>
                <w:rFonts w:eastAsia="Times New Roman"/>
              </w:rPr>
              <w:t xml:space="preserve">whether they will end up being important for </w:t>
            </w:r>
            <w:r w:rsidR="00A62589">
              <w:rPr>
                <w:rFonts w:eastAsia="Times New Roman"/>
              </w:rPr>
              <w:t>increasing</w:t>
            </w:r>
            <w:r w:rsidR="00BC0487" w:rsidRPr="00952547">
              <w:rPr>
                <w:rFonts w:eastAsia="Times New Roman"/>
              </w:rPr>
              <w:t xml:space="preserve"> precisions</w:t>
            </w:r>
            <w:r w:rsidR="00A62589">
              <w:rPr>
                <w:rFonts w:eastAsia="Times New Roman"/>
              </w:rPr>
              <w:t>)</w:t>
            </w:r>
            <w:r w:rsidR="00B7002F" w:rsidRPr="00B96F50">
              <w:rPr>
                <w:rFonts w:eastAsia="Times New Roman"/>
              </w:rPr>
              <w:t xml:space="preserve">. </w:t>
            </w:r>
            <w:r w:rsidR="00952547" w:rsidRPr="00952547">
              <w:rPr>
                <w:rFonts w:eastAsia="Times New Roman"/>
              </w:rPr>
              <w:t xml:space="preserve"> </w:t>
            </w:r>
            <w:r>
              <w:rPr>
                <w:rFonts w:eastAsia="Times New Roman"/>
              </w:rPr>
              <w:t>EFSPI</w:t>
            </w:r>
            <w:r w:rsidR="00B7002F" w:rsidRPr="00B96F50">
              <w:rPr>
                <w:rFonts w:eastAsia="Times New Roman"/>
              </w:rPr>
              <w:t xml:space="preserve"> recogni</w:t>
            </w:r>
            <w:r w:rsidR="00A13C48" w:rsidRPr="00B96F50">
              <w:rPr>
                <w:rFonts w:eastAsia="Times New Roman"/>
              </w:rPr>
              <w:t>s</w:t>
            </w:r>
            <w:r w:rsidR="00B7002F" w:rsidRPr="00B96F50">
              <w:rPr>
                <w:rFonts w:eastAsia="Times New Roman"/>
              </w:rPr>
              <w:t xml:space="preserve">ed that these methods may reduce variability and maybe </w:t>
            </w:r>
            <w:r w:rsidR="00F925C0">
              <w:rPr>
                <w:rFonts w:eastAsia="Times New Roman"/>
              </w:rPr>
              <w:t xml:space="preserve">it’ll be possible </w:t>
            </w:r>
            <w:r w:rsidR="004D58B0">
              <w:rPr>
                <w:rFonts w:eastAsia="Times New Roman"/>
              </w:rPr>
              <w:t xml:space="preserve">to </w:t>
            </w:r>
            <w:r w:rsidR="00B7002F" w:rsidRPr="00B96F50">
              <w:rPr>
                <w:rFonts w:eastAsia="Times New Roman"/>
              </w:rPr>
              <w:t>run studies with smaller sample size or increase</w:t>
            </w:r>
            <w:r w:rsidR="004D58B0">
              <w:rPr>
                <w:rFonts w:eastAsia="Times New Roman"/>
              </w:rPr>
              <w:t>d</w:t>
            </w:r>
            <w:r w:rsidR="00B7002F" w:rsidRPr="00B96F50">
              <w:rPr>
                <w:rFonts w:eastAsia="Times New Roman"/>
              </w:rPr>
              <w:t xml:space="preserve"> the power if the sample size is the same. It is however unknown to how much the variability would be reduced. Simulations can be performed to gain a better understanding.</w:t>
            </w:r>
          </w:p>
          <w:p w14:paraId="2BE753BE" w14:textId="77777777" w:rsidR="0080676A" w:rsidRPr="00B96F50" w:rsidRDefault="0080676A" w:rsidP="00B7002F">
            <w:pPr>
              <w:rPr>
                <w:rFonts w:eastAsia="Times New Roman"/>
              </w:rPr>
            </w:pPr>
          </w:p>
          <w:p w14:paraId="216765CE" w14:textId="22ED6924" w:rsidR="00B7002F" w:rsidRPr="00B96F50" w:rsidRDefault="00D0342E" w:rsidP="00B7002F">
            <w:pPr>
              <w:rPr>
                <w:rFonts w:eastAsia="Times New Roman"/>
              </w:rPr>
            </w:pPr>
            <w:r>
              <w:rPr>
                <w:rFonts w:eastAsia="Times New Roman"/>
              </w:rPr>
              <w:t>MHRA Team</w:t>
            </w:r>
            <w:r w:rsidR="00B7002F" w:rsidRPr="00B96F50">
              <w:rPr>
                <w:rFonts w:eastAsia="Times New Roman"/>
              </w:rPr>
              <w:t xml:space="preserve"> asked if there were any regulatory precedents using this approach. </w:t>
            </w:r>
          </w:p>
          <w:p w14:paraId="6EAD705C" w14:textId="2847CA11" w:rsidR="00B23F59" w:rsidRPr="00B96F50" w:rsidRDefault="00297CDF" w:rsidP="00B23F59">
            <w:pPr>
              <w:rPr>
                <w:rFonts w:eastAsia="Times New Roman"/>
              </w:rPr>
            </w:pPr>
            <w:r>
              <w:rPr>
                <w:rFonts w:eastAsia="Times New Roman"/>
              </w:rPr>
              <w:t>EFSPI</w:t>
            </w:r>
            <w:r w:rsidR="00B7002F" w:rsidRPr="00B96F50">
              <w:rPr>
                <w:rFonts w:eastAsia="Times New Roman"/>
              </w:rPr>
              <w:t xml:space="preserve"> mentioned that the FDA guideline on adjusting for covariates in RCTs mentions doubly robust estimators coming from causal inference to adjust for different covariates</w:t>
            </w:r>
            <w:r w:rsidR="0080676A" w:rsidRPr="00B96F50">
              <w:rPr>
                <w:rFonts w:eastAsia="Times New Roman"/>
              </w:rPr>
              <w:t>.</w:t>
            </w:r>
          </w:p>
        </w:tc>
      </w:tr>
    </w:tbl>
    <w:p w14:paraId="3F56321E" w14:textId="77777777" w:rsidR="00547616" w:rsidRPr="00B96F50" w:rsidRDefault="00547616" w:rsidP="007D406D"/>
    <w:sectPr w:rsidR="00547616" w:rsidRPr="00B96F50" w:rsidSect="008B0D20">
      <w:pgSz w:w="11906" w:h="16838"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7CA50E" w14:textId="77777777" w:rsidR="009D2ACA" w:rsidRDefault="009D2ACA" w:rsidP="00942350">
      <w:pPr>
        <w:spacing w:after="0" w:line="240" w:lineRule="auto"/>
      </w:pPr>
      <w:r>
        <w:separator/>
      </w:r>
    </w:p>
  </w:endnote>
  <w:endnote w:type="continuationSeparator" w:id="0">
    <w:p w14:paraId="7ADE8048" w14:textId="77777777" w:rsidR="009D2ACA" w:rsidRDefault="009D2ACA" w:rsidP="009423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body)">
    <w:altName w:val="Calibri"/>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A55979" w14:textId="77777777" w:rsidR="009D2ACA" w:rsidRDefault="009D2ACA" w:rsidP="00942350">
      <w:pPr>
        <w:spacing w:after="0" w:line="240" w:lineRule="auto"/>
      </w:pPr>
      <w:r>
        <w:separator/>
      </w:r>
    </w:p>
  </w:footnote>
  <w:footnote w:type="continuationSeparator" w:id="0">
    <w:p w14:paraId="1284104B" w14:textId="77777777" w:rsidR="009D2ACA" w:rsidRDefault="009D2ACA" w:rsidP="009423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33248"/>
    <w:multiLevelType w:val="hybridMultilevel"/>
    <w:tmpl w:val="698A5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2B6683"/>
    <w:multiLevelType w:val="hybridMultilevel"/>
    <w:tmpl w:val="B0EE1A1E"/>
    <w:lvl w:ilvl="0" w:tplc="04060011">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2" w15:restartNumberingAfterBreak="0">
    <w:nsid w:val="15657CB1"/>
    <w:multiLevelType w:val="hybridMultilevel"/>
    <w:tmpl w:val="E7566D4C"/>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3" w15:restartNumberingAfterBreak="0">
    <w:nsid w:val="1C0F1105"/>
    <w:multiLevelType w:val="hybridMultilevel"/>
    <w:tmpl w:val="3BAE03A6"/>
    <w:lvl w:ilvl="0" w:tplc="29608C7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6FA7490"/>
    <w:multiLevelType w:val="hybridMultilevel"/>
    <w:tmpl w:val="1F880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126393"/>
    <w:multiLevelType w:val="hybridMultilevel"/>
    <w:tmpl w:val="A5867C1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6" w15:restartNumberingAfterBreak="0">
    <w:nsid w:val="38C93401"/>
    <w:multiLevelType w:val="hybridMultilevel"/>
    <w:tmpl w:val="BD723080"/>
    <w:lvl w:ilvl="0" w:tplc="04060011">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7" w15:restartNumberingAfterBreak="0">
    <w:nsid w:val="3D1B7070"/>
    <w:multiLevelType w:val="hybridMultilevel"/>
    <w:tmpl w:val="832469E6"/>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419A64AD"/>
    <w:multiLevelType w:val="hybridMultilevel"/>
    <w:tmpl w:val="33E89CCE"/>
    <w:lvl w:ilvl="0" w:tplc="466E49F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C540231"/>
    <w:multiLevelType w:val="hybridMultilevel"/>
    <w:tmpl w:val="99A01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F7002B"/>
    <w:multiLevelType w:val="hybridMultilevel"/>
    <w:tmpl w:val="B5180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B27C97"/>
    <w:multiLevelType w:val="hybridMultilevel"/>
    <w:tmpl w:val="21AAB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E00444"/>
    <w:multiLevelType w:val="hybridMultilevel"/>
    <w:tmpl w:val="7BE2E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845C2E"/>
    <w:multiLevelType w:val="hybridMultilevel"/>
    <w:tmpl w:val="43B27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F75F17"/>
    <w:multiLevelType w:val="hybridMultilevel"/>
    <w:tmpl w:val="5DCCB9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6AE656FC"/>
    <w:multiLevelType w:val="hybridMultilevel"/>
    <w:tmpl w:val="A0380D7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6" w15:restartNumberingAfterBreak="0">
    <w:nsid w:val="73DC0387"/>
    <w:multiLevelType w:val="hybridMultilevel"/>
    <w:tmpl w:val="1DF0F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BD86A09"/>
    <w:multiLevelType w:val="hybridMultilevel"/>
    <w:tmpl w:val="4E5A22AC"/>
    <w:lvl w:ilvl="0" w:tplc="19A074C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E4025E6"/>
    <w:multiLevelType w:val="hybridMultilevel"/>
    <w:tmpl w:val="82F8F73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num w:numId="1" w16cid:durableId="1663125426">
    <w:abstractNumId w:val="13"/>
  </w:num>
  <w:num w:numId="2" w16cid:durableId="1301110521">
    <w:abstractNumId w:val="2"/>
  </w:num>
  <w:num w:numId="3" w16cid:durableId="100342204">
    <w:abstractNumId w:val="16"/>
  </w:num>
  <w:num w:numId="4" w16cid:durableId="1074358464">
    <w:abstractNumId w:val="0"/>
  </w:num>
  <w:num w:numId="5" w16cid:durableId="391973811">
    <w:abstractNumId w:val="10"/>
  </w:num>
  <w:num w:numId="6" w16cid:durableId="278925382">
    <w:abstractNumId w:val="11"/>
  </w:num>
  <w:num w:numId="7" w16cid:durableId="1687900249">
    <w:abstractNumId w:val="9"/>
  </w:num>
  <w:num w:numId="8" w16cid:durableId="425617584">
    <w:abstractNumId w:val="12"/>
  </w:num>
  <w:num w:numId="9" w16cid:durableId="1529490464">
    <w:abstractNumId w:val="3"/>
  </w:num>
  <w:num w:numId="10" w16cid:durableId="90123304">
    <w:abstractNumId w:val="4"/>
  </w:num>
  <w:num w:numId="11" w16cid:durableId="1669676964">
    <w:abstractNumId w:val="4"/>
  </w:num>
  <w:num w:numId="12" w16cid:durableId="1095444715">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83616253">
    <w:abstractNumId w:val="15"/>
  </w:num>
  <w:num w:numId="14" w16cid:durableId="121465153">
    <w:abstractNumId w:val="5"/>
  </w:num>
  <w:num w:numId="15" w16cid:durableId="1723747208">
    <w:abstractNumId w:val="18"/>
  </w:num>
  <w:num w:numId="16" w16cid:durableId="12675364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92756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32154972">
    <w:abstractNumId w:val="14"/>
  </w:num>
  <w:num w:numId="19" w16cid:durableId="772893596">
    <w:abstractNumId w:val="17"/>
  </w:num>
  <w:num w:numId="20" w16cid:durableId="1369184171">
    <w:abstractNumId w:val="7"/>
  </w:num>
  <w:num w:numId="21" w16cid:durableId="1675575055">
    <w:abstractNumId w:val="1"/>
  </w:num>
  <w:num w:numId="22" w16cid:durableId="1571041698">
    <w:abstractNumId w:val="6"/>
  </w:num>
  <w:num w:numId="23" w16cid:durableId="613294250">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3C8"/>
    <w:rsid w:val="00002130"/>
    <w:rsid w:val="00002168"/>
    <w:rsid w:val="000104AF"/>
    <w:rsid w:val="00011B18"/>
    <w:rsid w:val="00021DEB"/>
    <w:rsid w:val="00023255"/>
    <w:rsid w:val="00027166"/>
    <w:rsid w:val="00027355"/>
    <w:rsid w:val="000279BE"/>
    <w:rsid w:val="00030777"/>
    <w:rsid w:val="000313CD"/>
    <w:rsid w:val="00031429"/>
    <w:rsid w:val="0003152F"/>
    <w:rsid w:val="00033B24"/>
    <w:rsid w:val="00034C8A"/>
    <w:rsid w:val="00035CDB"/>
    <w:rsid w:val="00037781"/>
    <w:rsid w:val="00042DF2"/>
    <w:rsid w:val="0004716D"/>
    <w:rsid w:val="0005259C"/>
    <w:rsid w:val="00057B29"/>
    <w:rsid w:val="00063947"/>
    <w:rsid w:val="00064A8A"/>
    <w:rsid w:val="00064D76"/>
    <w:rsid w:val="00066BBC"/>
    <w:rsid w:val="00066EB9"/>
    <w:rsid w:val="00075859"/>
    <w:rsid w:val="00076C8F"/>
    <w:rsid w:val="00076EFE"/>
    <w:rsid w:val="00077563"/>
    <w:rsid w:val="00083B9A"/>
    <w:rsid w:val="00086549"/>
    <w:rsid w:val="00092697"/>
    <w:rsid w:val="0009494C"/>
    <w:rsid w:val="000A27CC"/>
    <w:rsid w:val="000A31AE"/>
    <w:rsid w:val="000B0165"/>
    <w:rsid w:val="000B743C"/>
    <w:rsid w:val="000C516B"/>
    <w:rsid w:val="000D1866"/>
    <w:rsid w:val="000D22F8"/>
    <w:rsid w:val="000D42C9"/>
    <w:rsid w:val="000D60F6"/>
    <w:rsid w:val="000D7368"/>
    <w:rsid w:val="000D7B47"/>
    <w:rsid w:val="000E0F6C"/>
    <w:rsid w:val="000E358E"/>
    <w:rsid w:val="000E4164"/>
    <w:rsid w:val="000E42DF"/>
    <w:rsid w:val="000E788A"/>
    <w:rsid w:val="000F6B14"/>
    <w:rsid w:val="000F7B1E"/>
    <w:rsid w:val="00102CD2"/>
    <w:rsid w:val="00115A3D"/>
    <w:rsid w:val="00120234"/>
    <w:rsid w:val="00123C7D"/>
    <w:rsid w:val="00124F31"/>
    <w:rsid w:val="00125DDB"/>
    <w:rsid w:val="0013369C"/>
    <w:rsid w:val="00135A99"/>
    <w:rsid w:val="00136A66"/>
    <w:rsid w:val="00136DE3"/>
    <w:rsid w:val="00146353"/>
    <w:rsid w:val="001501BD"/>
    <w:rsid w:val="00150213"/>
    <w:rsid w:val="00151C9D"/>
    <w:rsid w:val="0015780D"/>
    <w:rsid w:val="00157A26"/>
    <w:rsid w:val="001644EA"/>
    <w:rsid w:val="001647FB"/>
    <w:rsid w:val="00166B4E"/>
    <w:rsid w:val="0017064F"/>
    <w:rsid w:val="00171B1E"/>
    <w:rsid w:val="0017596F"/>
    <w:rsid w:val="00186693"/>
    <w:rsid w:val="00191111"/>
    <w:rsid w:val="001A05FC"/>
    <w:rsid w:val="001A0D2E"/>
    <w:rsid w:val="001A3704"/>
    <w:rsid w:val="001A43BA"/>
    <w:rsid w:val="001A6AC8"/>
    <w:rsid w:val="001A6B0A"/>
    <w:rsid w:val="001B1687"/>
    <w:rsid w:val="001B2399"/>
    <w:rsid w:val="001B297A"/>
    <w:rsid w:val="001C0244"/>
    <w:rsid w:val="001C1CA2"/>
    <w:rsid w:val="001C29DB"/>
    <w:rsid w:val="001C4C52"/>
    <w:rsid w:val="001D0BC2"/>
    <w:rsid w:val="001D1C20"/>
    <w:rsid w:val="001D244D"/>
    <w:rsid w:val="001D3A8E"/>
    <w:rsid w:val="001D6335"/>
    <w:rsid w:val="001D6F59"/>
    <w:rsid w:val="001D723C"/>
    <w:rsid w:val="001D7BA2"/>
    <w:rsid w:val="001D7BA6"/>
    <w:rsid w:val="001E58BD"/>
    <w:rsid w:val="001F0B2C"/>
    <w:rsid w:val="001F2A81"/>
    <w:rsid w:val="001F7C17"/>
    <w:rsid w:val="00200A38"/>
    <w:rsid w:val="00204525"/>
    <w:rsid w:val="00205D28"/>
    <w:rsid w:val="0021266F"/>
    <w:rsid w:val="00216B57"/>
    <w:rsid w:val="00217E80"/>
    <w:rsid w:val="00224A6F"/>
    <w:rsid w:val="00233FB3"/>
    <w:rsid w:val="00235926"/>
    <w:rsid w:val="00235A11"/>
    <w:rsid w:val="002371A5"/>
    <w:rsid w:val="00237209"/>
    <w:rsid w:val="00237922"/>
    <w:rsid w:val="00240971"/>
    <w:rsid w:val="00240F0F"/>
    <w:rsid w:val="002423E6"/>
    <w:rsid w:val="00246A38"/>
    <w:rsid w:val="002475DF"/>
    <w:rsid w:val="00250100"/>
    <w:rsid w:val="00250139"/>
    <w:rsid w:val="00250F57"/>
    <w:rsid w:val="0025174D"/>
    <w:rsid w:val="00251DDB"/>
    <w:rsid w:val="00255C13"/>
    <w:rsid w:val="0025674D"/>
    <w:rsid w:val="002600F9"/>
    <w:rsid w:val="00265C24"/>
    <w:rsid w:val="00266F52"/>
    <w:rsid w:val="00267885"/>
    <w:rsid w:val="00270DBE"/>
    <w:rsid w:val="002714A2"/>
    <w:rsid w:val="002730F9"/>
    <w:rsid w:val="00276A9A"/>
    <w:rsid w:val="00280582"/>
    <w:rsid w:val="0028408C"/>
    <w:rsid w:val="00291864"/>
    <w:rsid w:val="002920D0"/>
    <w:rsid w:val="00295D85"/>
    <w:rsid w:val="00297AA8"/>
    <w:rsid w:val="00297CDF"/>
    <w:rsid w:val="002A0E80"/>
    <w:rsid w:val="002A249E"/>
    <w:rsid w:val="002A43E8"/>
    <w:rsid w:val="002A6D82"/>
    <w:rsid w:val="002A7E16"/>
    <w:rsid w:val="002B056A"/>
    <w:rsid w:val="002B1015"/>
    <w:rsid w:val="002B5427"/>
    <w:rsid w:val="002C3A65"/>
    <w:rsid w:val="002C670D"/>
    <w:rsid w:val="002D3C07"/>
    <w:rsid w:val="002D59F6"/>
    <w:rsid w:val="002E0BC9"/>
    <w:rsid w:val="002E0D0B"/>
    <w:rsid w:val="002E2A1B"/>
    <w:rsid w:val="002F29A2"/>
    <w:rsid w:val="002F5FE7"/>
    <w:rsid w:val="002F706B"/>
    <w:rsid w:val="00300037"/>
    <w:rsid w:val="00303BDC"/>
    <w:rsid w:val="00303D07"/>
    <w:rsid w:val="00304D3B"/>
    <w:rsid w:val="00307CF8"/>
    <w:rsid w:val="00311354"/>
    <w:rsid w:val="00312253"/>
    <w:rsid w:val="003259C4"/>
    <w:rsid w:val="00334C65"/>
    <w:rsid w:val="003350E6"/>
    <w:rsid w:val="003368E0"/>
    <w:rsid w:val="00340FE7"/>
    <w:rsid w:val="00342627"/>
    <w:rsid w:val="003429D4"/>
    <w:rsid w:val="00344D2D"/>
    <w:rsid w:val="003459D1"/>
    <w:rsid w:val="003505C9"/>
    <w:rsid w:val="003509C7"/>
    <w:rsid w:val="003526C6"/>
    <w:rsid w:val="00354003"/>
    <w:rsid w:val="00357884"/>
    <w:rsid w:val="003634D7"/>
    <w:rsid w:val="00372805"/>
    <w:rsid w:val="003730C8"/>
    <w:rsid w:val="00376B71"/>
    <w:rsid w:val="0038147D"/>
    <w:rsid w:val="0039042B"/>
    <w:rsid w:val="0039242C"/>
    <w:rsid w:val="0039263A"/>
    <w:rsid w:val="003A3156"/>
    <w:rsid w:val="003A4BDB"/>
    <w:rsid w:val="003A4E10"/>
    <w:rsid w:val="003A5139"/>
    <w:rsid w:val="003A74E1"/>
    <w:rsid w:val="003B5F67"/>
    <w:rsid w:val="003C1759"/>
    <w:rsid w:val="003C4584"/>
    <w:rsid w:val="003C6459"/>
    <w:rsid w:val="003D3FB0"/>
    <w:rsid w:val="003D5DD5"/>
    <w:rsid w:val="003D7DA4"/>
    <w:rsid w:val="003D7EA4"/>
    <w:rsid w:val="003E42DA"/>
    <w:rsid w:val="003E4B6E"/>
    <w:rsid w:val="003E5AA2"/>
    <w:rsid w:val="003E7EB5"/>
    <w:rsid w:val="003F3A5C"/>
    <w:rsid w:val="003F70F1"/>
    <w:rsid w:val="00403F98"/>
    <w:rsid w:val="00404305"/>
    <w:rsid w:val="00411A66"/>
    <w:rsid w:val="0041224E"/>
    <w:rsid w:val="004131B7"/>
    <w:rsid w:val="004136F1"/>
    <w:rsid w:val="00415B1F"/>
    <w:rsid w:val="004171D7"/>
    <w:rsid w:val="00424C19"/>
    <w:rsid w:val="0042713A"/>
    <w:rsid w:val="0043070D"/>
    <w:rsid w:val="004315A9"/>
    <w:rsid w:val="00432D3D"/>
    <w:rsid w:val="00434C7F"/>
    <w:rsid w:val="00435071"/>
    <w:rsid w:val="0043528B"/>
    <w:rsid w:val="004375FB"/>
    <w:rsid w:val="0045049D"/>
    <w:rsid w:val="00455196"/>
    <w:rsid w:val="004620C8"/>
    <w:rsid w:val="00463253"/>
    <w:rsid w:val="0046684F"/>
    <w:rsid w:val="0047332B"/>
    <w:rsid w:val="00473EDE"/>
    <w:rsid w:val="004807BE"/>
    <w:rsid w:val="00486604"/>
    <w:rsid w:val="00492785"/>
    <w:rsid w:val="004938EA"/>
    <w:rsid w:val="00493E0D"/>
    <w:rsid w:val="00495CD7"/>
    <w:rsid w:val="004B01CE"/>
    <w:rsid w:val="004B4DE8"/>
    <w:rsid w:val="004B6B21"/>
    <w:rsid w:val="004B73AB"/>
    <w:rsid w:val="004C028E"/>
    <w:rsid w:val="004C10E0"/>
    <w:rsid w:val="004D2177"/>
    <w:rsid w:val="004D344F"/>
    <w:rsid w:val="004D3A8C"/>
    <w:rsid w:val="004D5716"/>
    <w:rsid w:val="004D58B0"/>
    <w:rsid w:val="004D5CB7"/>
    <w:rsid w:val="004D73C4"/>
    <w:rsid w:val="004E0173"/>
    <w:rsid w:val="004E3C7E"/>
    <w:rsid w:val="004E6C24"/>
    <w:rsid w:val="004F2D9D"/>
    <w:rsid w:val="004F3E3C"/>
    <w:rsid w:val="004F6537"/>
    <w:rsid w:val="004F69F5"/>
    <w:rsid w:val="005012AF"/>
    <w:rsid w:val="00504A6D"/>
    <w:rsid w:val="0050736C"/>
    <w:rsid w:val="0050748D"/>
    <w:rsid w:val="00516B59"/>
    <w:rsid w:val="005210F1"/>
    <w:rsid w:val="00522800"/>
    <w:rsid w:val="0052513A"/>
    <w:rsid w:val="005261A1"/>
    <w:rsid w:val="00526317"/>
    <w:rsid w:val="00527BA6"/>
    <w:rsid w:val="00532647"/>
    <w:rsid w:val="0053264C"/>
    <w:rsid w:val="00533787"/>
    <w:rsid w:val="005352E4"/>
    <w:rsid w:val="0054063A"/>
    <w:rsid w:val="00542605"/>
    <w:rsid w:val="0054518A"/>
    <w:rsid w:val="00545725"/>
    <w:rsid w:val="00547525"/>
    <w:rsid w:val="00547616"/>
    <w:rsid w:val="0055303E"/>
    <w:rsid w:val="00553478"/>
    <w:rsid w:val="0055659A"/>
    <w:rsid w:val="00561942"/>
    <w:rsid w:val="005639CC"/>
    <w:rsid w:val="00564AC4"/>
    <w:rsid w:val="0056638D"/>
    <w:rsid w:val="00570D8D"/>
    <w:rsid w:val="005826EA"/>
    <w:rsid w:val="0058367E"/>
    <w:rsid w:val="005903F7"/>
    <w:rsid w:val="00595330"/>
    <w:rsid w:val="005A0273"/>
    <w:rsid w:val="005A173C"/>
    <w:rsid w:val="005A244E"/>
    <w:rsid w:val="005A5ECD"/>
    <w:rsid w:val="005C0F2E"/>
    <w:rsid w:val="005C4F9C"/>
    <w:rsid w:val="005C6A3C"/>
    <w:rsid w:val="005D01FD"/>
    <w:rsid w:val="005D3A24"/>
    <w:rsid w:val="005E5174"/>
    <w:rsid w:val="005E7505"/>
    <w:rsid w:val="005F3A00"/>
    <w:rsid w:val="00605A17"/>
    <w:rsid w:val="00605B5B"/>
    <w:rsid w:val="006117B7"/>
    <w:rsid w:val="00611BA2"/>
    <w:rsid w:val="006121FD"/>
    <w:rsid w:val="0061235E"/>
    <w:rsid w:val="00615419"/>
    <w:rsid w:val="00617C78"/>
    <w:rsid w:val="00624DBE"/>
    <w:rsid w:val="00624F1B"/>
    <w:rsid w:val="00632615"/>
    <w:rsid w:val="006327D1"/>
    <w:rsid w:val="0063433D"/>
    <w:rsid w:val="00635879"/>
    <w:rsid w:val="00637412"/>
    <w:rsid w:val="0064193D"/>
    <w:rsid w:val="00641B8D"/>
    <w:rsid w:val="006460C9"/>
    <w:rsid w:val="0064701B"/>
    <w:rsid w:val="006503CC"/>
    <w:rsid w:val="00652751"/>
    <w:rsid w:val="00654A0F"/>
    <w:rsid w:val="0065672D"/>
    <w:rsid w:val="0065705B"/>
    <w:rsid w:val="0066135C"/>
    <w:rsid w:val="00665F18"/>
    <w:rsid w:val="00670965"/>
    <w:rsid w:val="0067708A"/>
    <w:rsid w:val="00684507"/>
    <w:rsid w:val="006918A6"/>
    <w:rsid w:val="0069205E"/>
    <w:rsid w:val="00694F38"/>
    <w:rsid w:val="006A15EA"/>
    <w:rsid w:val="006A5587"/>
    <w:rsid w:val="006B63FC"/>
    <w:rsid w:val="006B757C"/>
    <w:rsid w:val="006B7D62"/>
    <w:rsid w:val="006C3671"/>
    <w:rsid w:val="006C6D64"/>
    <w:rsid w:val="006C7ACD"/>
    <w:rsid w:val="006D0271"/>
    <w:rsid w:val="006D02AC"/>
    <w:rsid w:val="006D25D9"/>
    <w:rsid w:val="006D3F34"/>
    <w:rsid w:val="006D62FB"/>
    <w:rsid w:val="006D723B"/>
    <w:rsid w:val="006E20AA"/>
    <w:rsid w:val="006E4049"/>
    <w:rsid w:val="006E4AAC"/>
    <w:rsid w:val="006F0439"/>
    <w:rsid w:val="006F356C"/>
    <w:rsid w:val="006F662C"/>
    <w:rsid w:val="006F72D2"/>
    <w:rsid w:val="00700873"/>
    <w:rsid w:val="00703385"/>
    <w:rsid w:val="00704562"/>
    <w:rsid w:val="007063A9"/>
    <w:rsid w:val="00706773"/>
    <w:rsid w:val="00706C73"/>
    <w:rsid w:val="00711755"/>
    <w:rsid w:val="00714697"/>
    <w:rsid w:val="007202D9"/>
    <w:rsid w:val="00730006"/>
    <w:rsid w:val="00731088"/>
    <w:rsid w:val="007340BC"/>
    <w:rsid w:val="0073725B"/>
    <w:rsid w:val="007423A5"/>
    <w:rsid w:val="00755EA7"/>
    <w:rsid w:val="007561AA"/>
    <w:rsid w:val="00756622"/>
    <w:rsid w:val="00757E75"/>
    <w:rsid w:val="00762004"/>
    <w:rsid w:val="0076300B"/>
    <w:rsid w:val="00763D97"/>
    <w:rsid w:val="007645DC"/>
    <w:rsid w:val="007669F2"/>
    <w:rsid w:val="00766D93"/>
    <w:rsid w:val="0077028C"/>
    <w:rsid w:val="0077161E"/>
    <w:rsid w:val="00773A2A"/>
    <w:rsid w:val="00775054"/>
    <w:rsid w:val="00791803"/>
    <w:rsid w:val="00792D7E"/>
    <w:rsid w:val="00795E2B"/>
    <w:rsid w:val="00797C40"/>
    <w:rsid w:val="007A0155"/>
    <w:rsid w:val="007A1B7F"/>
    <w:rsid w:val="007A5547"/>
    <w:rsid w:val="007B3C56"/>
    <w:rsid w:val="007B6201"/>
    <w:rsid w:val="007C034B"/>
    <w:rsid w:val="007C0BCC"/>
    <w:rsid w:val="007C280D"/>
    <w:rsid w:val="007C33F0"/>
    <w:rsid w:val="007C5B69"/>
    <w:rsid w:val="007C660B"/>
    <w:rsid w:val="007C7C02"/>
    <w:rsid w:val="007D2C0E"/>
    <w:rsid w:val="007D406D"/>
    <w:rsid w:val="007D481D"/>
    <w:rsid w:val="007E0015"/>
    <w:rsid w:val="007E57C0"/>
    <w:rsid w:val="007E77E4"/>
    <w:rsid w:val="007F43CB"/>
    <w:rsid w:val="007F7365"/>
    <w:rsid w:val="00801777"/>
    <w:rsid w:val="008033C9"/>
    <w:rsid w:val="0080676A"/>
    <w:rsid w:val="00806D26"/>
    <w:rsid w:val="00817F64"/>
    <w:rsid w:val="008218D6"/>
    <w:rsid w:val="008250DA"/>
    <w:rsid w:val="00832E27"/>
    <w:rsid w:val="00834115"/>
    <w:rsid w:val="008466C9"/>
    <w:rsid w:val="0085572C"/>
    <w:rsid w:val="00856DC2"/>
    <w:rsid w:val="0086095E"/>
    <w:rsid w:val="0086405C"/>
    <w:rsid w:val="00865501"/>
    <w:rsid w:val="0086615F"/>
    <w:rsid w:val="00873E84"/>
    <w:rsid w:val="00876DBB"/>
    <w:rsid w:val="00880304"/>
    <w:rsid w:val="008806B7"/>
    <w:rsid w:val="008820DB"/>
    <w:rsid w:val="00882517"/>
    <w:rsid w:val="00883147"/>
    <w:rsid w:val="008943F2"/>
    <w:rsid w:val="00894525"/>
    <w:rsid w:val="008A5291"/>
    <w:rsid w:val="008A5D1C"/>
    <w:rsid w:val="008A7F48"/>
    <w:rsid w:val="008B0D20"/>
    <w:rsid w:val="008B3130"/>
    <w:rsid w:val="008B47A8"/>
    <w:rsid w:val="008B5517"/>
    <w:rsid w:val="008B5CA3"/>
    <w:rsid w:val="008C06CD"/>
    <w:rsid w:val="008D1B44"/>
    <w:rsid w:val="008D5EC0"/>
    <w:rsid w:val="008D6834"/>
    <w:rsid w:val="008D700A"/>
    <w:rsid w:val="008E0BF8"/>
    <w:rsid w:val="008E1696"/>
    <w:rsid w:val="008E3796"/>
    <w:rsid w:val="008F0380"/>
    <w:rsid w:val="008F246B"/>
    <w:rsid w:val="008F3A48"/>
    <w:rsid w:val="00904CD7"/>
    <w:rsid w:val="00913116"/>
    <w:rsid w:val="00917B0E"/>
    <w:rsid w:val="0092553B"/>
    <w:rsid w:val="00927C4A"/>
    <w:rsid w:val="00935B10"/>
    <w:rsid w:val="00937F64"/>
    <w:rsid w:val="00940643"/>
    <w:rsid w:val="00940ED2"/>
    <w:rsid w:val="00942350"/>
    <w:rsid w:val="009436E7"/>
    <w:rsid w:val="00950E86"/>
    <w:rsid w:val="00951696"/>
    <w:rsid w:val="00952547"/>
    <w:rsid w:val="00953128"/>
    <w:rsid w:val="00956104"/>
    <w:rsid w:val="00956BE7"/>
    <w:rsid w:val="0096369C"/>
    <w:rsid w:val="00963F74"/>
    <w:rsid w:val="00964458"/>
    <w:rsid w:val="009700C2"/>
    <w:rsid w:val="00971666"/>
    <w:rsid w:val="00973CCC"/>
    <w:rsid w:val="009860F0"/>
    <w:rsid w:val="00991020"/>
    <w:rsid w:val="00991AE9"/>
    <w:rsid w:val="00991FD9"/>
    <w:rsid w:val="00992BAD"/>
    <w:rsid w:val="009A6F37"/>
    <w:rsid w:val="009A7BF1"/>
    <w:rsid w:val="009B38EA"/>
    <w:rsid w:val="009C1CF5"/>
    <w:rsid w:val="009C6971"/>
    <w:rsid w:val="009C74EB"/>
    <w:rsid w:val="009D1EB4"/>
    <w:rsid w:val="009D2ACA"/>
    <w:rsid w:val="009D4ACB"/>
    <w:rsid w:val="009D5869"/>
    <w:rsid w:val="009D5D6E"/>
    <w:rsid w:val="009D6974"/>
    <w:rsid w:val="009E42A8"/>
    <w:rsid w:val="009E5DBB"/>
    <w:rsid w:val="009E7570"/>
    <w:rsid w:val="009F1B3B"/>
    <w:rsid w:val="009F2379"/>
    <w:rsid w:val="009F2596"/>
    <w:rsid w:val="009F3E7B"/>
    <w:rsid w:val="009F68C2"/>
    <w:rsid w:val="00A02766"/>
    <w:rsid w:val="00A04321"/>
    <w:rsid w:val="00A12839"/>
    <w:rsid w:val="00A12F2D"/>
    <w:rsid w:val="00A13C48"/>
    <w:rsid w:val="00A1434D"/>
    <w:rsid w:val="00A20947"/>
    <w:rsid w:val="00A22174"/>
    <w:rsid w:val="00A2552A"/>
    <w:rsid w:val="00A3017B"/>
    <w:rsid w:val="00A32890"/>
    <w:rsid w:val="00A367F0"/>
    <w:rsid w:val="00A4016B"/>
    <w:rsid w:val="00A403F8"/>
    <w:rsid w:val="00A42C50"/>
    <w:rsid w:val="00A47D95"/>
    <w:rsid w:val="00A52D73"/>
    <w:rsid w:val="00A536B7"/>
    <w:rsid w:val="00A55777"/>
    <w:rsid w:val="00A57B93"/>
    <w:rsid w:val="00A60D65"/>
    <w:rsid w:val="00A62589"/>
    <w:rsid w:val="00A6435E"/>
    <w:rsid w:val="00A67482"/>
    <w:rsid w:val="00A7074D"/>
    <w:rsid w:val="00A73697"/>
    <w:rsid w:val="00A73D7F"/>
    <w:rsid w:val="00A86E9C"/>
    <w:rsid w:val="00A91154"/>
    <w:rsid w:val="00A9298B"/>
    <w:rsid w:val="00A92B0F"/>
    <w:rsid w:val="00A94EB8"/>
    <w:rsid w:val="00A97CB1"/>
    <w:rsid w:val="00AA37CA"/>
    <w:rsid w:val="00AB1092"/>
    <w:rsid w:val="00AB194B"/>
    <w:rsid w:val="00AB57D3"/>
    <w:rsid w:val="00AB5C80"/>
    <w:rsid w:val="00AC02B4"/>
    <w:rsid w:val="00AC4A38"/>
    <w:rsid w:val="00AC6192"/>
    <w:rsid w:val="00AD00C5"/>
    <w:rsid w:val="00AD4D0E"/>
    <w:rsid w:val="00AD6B9B"/>
    <w:rsid w:val="00AD7AD0"/>
    <w:rsid w:val="00AE4953"/>
    <w:rsid w:val="00AE6346"/>
    <w:rsid w:val="00AF3310"/>
    <w:rsid w:val="00AF338E"/>
    <w:rsid w:val="00AF550F"/>
    <w:rsid w:val="00AF6527"/>
    <w:rsid w:val="00AF6586"/>
    <w:rsid w:val="00AF7BC1"/>
    <w:rsid w:val="00B02E53"/>
    <w:rsid w:val="00B06B59"/>
    <w:rsid w:val="00B107A7"/>
    <w:rsid w:val="00B133C8"/>
    <w:rsid w:val="00B13514"/>
    <w:rsid w:val="00B13C18"/>
    <w:rsid w:val="00B16ABB"/>
    <w:rsid w:val="00B23F59"/>
    <w:rsid w:val="00B24663"/>
    <w:rsid w:val="00B30759"/>
    <w:rsid w:val="00B30DF1"/>
    <w:rsid w:val="00B34983"/>
    <w:rsid w:val="00B414CA"/>
    <w:rsid w:val="00B42D64"/>
    <w:rsid w:val="00B445D2"/>
    <w:rsid w:val="00B51C4F"/>
    <w:rsid w:val="00B53FAE"/>
    <w:rsid w:val="00B544CF"/>
    <w:rsid w:val="00B559C2"/>
    <w:rsid w:val="00B57D85"/>
    <w:rsid w:val="00B647CE"/>
    <w:rsid w:val="00B6498F"/>
    <w:rsid w:val="00B7002F"/>
    <w:rsid w:val="00B717E5"/>
    <w:rsid w:val="00B73300"/>
    <w:rsid w:val="00B7434E"/>
    <w:rsid w:val="00B756FA"/>
    <w:rsid w:val="00B7608B"/>
    <w:rsid w:val="00B760AF"/>
    <w:rsid w:val="00B77DBB"/>
    <w:rsid w:val="00B83542"/>
    <w:rsid w:val="00B83EEE"/>
    <w:rsid w:val="00B86883"/>
    <w:rsid w:val="00B87DB0"/>
    <w:rsid w:val="00B91D02"/>
    <w:rsid w:val="00B92361"/>
    <w:rsid w:val="00B9614B"/>
    <w:rsid w:val="00B96F50"/>
    <w:rsid w:val="00B973C2"/>
    <w:rsid w:val="00BA5EA7"/>
    <w:rsid w:val="00BA785D"/>
    <w:rsid w:val="00BA7A24"/>
    <w:rsid w:val="00BB061C"/>
    <w:rsid w:val="00BB1BAC"/>
    <w:rsid w:val="00BB3F95"/>
    <w:rsid w:val="00BB440D"/>
    <w:rsid w:val="00BC0487"/>
    <w:rsid w:val="00BC1D06"/>
    <w:rsid w:val="00BC2EA1"/>
    <w:rsid w:val="00BC44E8"/>
    <w:rsid w:val="00BD2E7A"/>
    <w:rsid w:val="00BD2F4F"/>
    <w:rsid w:val="00BD303F"/>
    <w:rsid w:val="00BD3991"/>
    <w:rsid w:val="00BD4636"/>
    <w:rsid w:val="00BD5295"/>
    <w:rsid w:val="00BD5549"/>
    <w:rsid w:val="00BD5F29"/>
    <w:rsid w:val="00BD741D"/>
    <w:rsid w:val="00BE00F9"/>
    <w:rsid w:val="00BE0A64"/>
    <w:rsid w:val="00BF2305"/>
    <w:rsid w:val="00BF3EFE"/>
    <w:rsid w:val="00BF48E4"/>
    <w:rsid w:val="00C0011C"/>
    <w:rsid w:val="00C07C38"/>
    <w:rsid w:val="00C11DC2"/>
    <w:rsid w:val="00C1209A"/>
    <w:rsid w:val="00C13268"/>
    <w:rsid w:val="00C16403"/>
    <w:rsid w:val="00C166C8"/>
    <w:rsid w:val="00C17B49"/>
    <w:rsid w:val="00C24623"/>
    <w:rsid w:val="00C25AF4"/>
    <w:rsid w:val="00C30A1B"/>
    <w:rsid w:val="00C35583"/>
    <w:rsid w:val="00C364C8"/>
    <w:rsid w:val="00C37CB6"/>
    <w:rsid w:val="00C37F17"/>
    <w:rsid w:val="00C40C92"/>
    <w:rsid w:val="00C411E3"/>
    <w:rsid w:val="00C4535A"/>
    <w:rsid w:val="00C47452"/>
    <w:rsid w:val="00C52C33"/>
    <w:rsid w:val="00C54DD6"/>
    <w:rsid w:val="00C56CA6"/>
    <w:rsid w:val="00C6244A"/>
    <w:rsid w:val="00C702A3"/>
    <w:rsid w:val="00C72F41"/>
    <w:rsid w:val="00C74CF5"/>
    <w:rsid w:val="00C75392"/>
    <w:rsid w:val="00C85A5D"/>
    <w:rsid w:val="00C86A72"/>
    <w:rsid w:val="00C87385"/>
    <w:rsid w:val="00C90D11"/>
    <w:rsid w:val="00C91602"/>
    <w:rsid w:val="00C919B1"/>
    <w:rsid w:val="00C92629"/>
    <w:rsid w:val="00C9539F"/>
    <w:rsid w:val="00C97144"/>
    <w:rsid w:val="00C9740D"/>
    <w:rsid w:val="00CA0D2C"/>
    <w:rsid w:val="00CA259A"/>
    <w:rsid w:val="00CA6D04"/>
    <w:rsid w:val="00CA71E1"/>
    <w:rsid w:val="00CB1D3F"/>
    <w:rsid w:val="00CB49BE"/>
    <w:rsid w:val="00CC0B02"/>
    <w:rsid w:val="00CC1CC1"/>
    <w:rsid w:val="00CC3EF6"/>
    <w:rsid w:val="00CC5E3E"/>
    <w:rsid w:val="00CC60BC"/>
    <w:rsid w:val="00CD322B"/>
    <w:rsid w:val="00CE7D81"/>
    <w:rsid w:val="00CF0613"/>
    <w:rsid w:val="00CF21BC"/>
    <w:rsid w:val="00CF3F3F"/>
    <w:rsid w:val="00CF76E9"/>
    <w:rsid w:val="00D0115B"/>
    <w:rsid w:val="00D0126F"/>
    <w:rsid w:val="00D02482"/>
    <w:rsid w:val="00D0342E"/>
    <w:rsid w:val="00D0422F"/>
    <w:rsid w:val="00D07394"/>
    <w:rsid w:val="00D134E6"/>
    <w:rsid w:val="00D13677"/>
    <w:rsid w:val="00D17285"/>
    <w:rsid w:val="00D1776A"/>
    <w:rsid w:val="00D20A67"/>
    <w:rsid w:val="00D246CE"/>
    <w:rsid w:val="00D2475E"/>
    <w:rsid w:val="00D269DE"/>
    <w:rsid w:val="00D27E70"/>
    <w:rsid w:val="00D30A37"/>
    <w:rsid w:val="00D3105E"/>
    <w:rsid w:val="00D32A2D"/>
    <w:rsid w:val="00D334DC"/>
    <w:rsid w:val="00D34E0A"/>
    <w:rsid w:val="00D35A61"/>
    <w:rsid w:val="00D3665F"/>
    <w:rsid w:val="00D36990"/>
    <w:rsid w:val="00D36B86"/>
    <w:rsid w:val="00D371CC"/>
    <w:rsid w:val="00D37A2D"/>
    <w:rsid w:val="00D409D3"/>
    <w:rsid w:val="00D43070"/>
    <w:rsid w:val="00D46BA7"/>
    <w:rsid w:val="00D46E5A"/>
    <w:rsid w:val="00D5121B"/>
    <w:rsid w:val="00D545B3"/>
    <w:rsid w:val="00D553C8"/>
    <w:rsid w:val="00D55B2D"/>
    <w:rsid w:val="00D652BA"/>
    <w:rsid w:val="00D73306"/>
    <w:rsid w:val="00D73790"/>
    <w:rsid w:val="00D73F43"/>
    <w:rsid w:val="00D8069F"/>
    <w:rsid w:val="00D812EE"/>
    <w:rsid w:val="00D910B7"/>
    <w:rsid w:val="00D97C18"/>
    <w:rsid w:val="00DA37F1"/>
    <w:rsid w:val="00DA49BF"/>
    <w:rsid w:val="00DA4C31"/>
    <w:rsid w:val="00DB2E26"/>
    <w:rsid w:val="00DB33C5"/>
    <w:rsid w:val="00DC01C8"/>
    <w:rsid w:val="00DC2860"/>
    <w:rsid w:val="00DC3620"/>
    <w:rsid w:val="00DC5D74"/>
    <w:rsid w:val="00DD2501"/>
    <w:rsid w:val="00DD38CF"/>
    <w:rsid w:val="00DD4A8B"/>
    <w:rsid w:val="00DD71F1"/>
    <w:rsid w:val="00DE0116"/>
    <w:rsid w:val="00DE0F9C"/>
    <w:rsid w:val="00DE57FF"/>
    <w:rsid w:val="00DF0E33"/>
    <w:rsid w:val="00E01C29"/>
    <w:rsid w:val="00E027C4"/>
    <w:rsid w:val="00E044DA"/>
    <w:rsid w:val="00E06896"/>
    <w:rsid w:val="00E13F98"/>
    <w:rsid w:val="00E211C0"/>
    <w:rsid w:val="00E213A3"/>
    <w:rsid w:val="00E331FA"/>
    <w:rsid w:val="00E37F3F"/>
    <w:rsid w:val="00E42140"/>
    <w:rsid w:val="00E44A49"/>
    <w:rsid w:val="00E53724"/>
    <w:rsid w:val="00E540D6"/>
    <w:rsid w:val="00E55019"/>
    <w:rsid w:val="00E62324"/>
    <w:rsid w:val="00E64263"/>
    <w:rsid w:val="00E6764B"/>
    <w:rsid w:val="00E70CB8"/>
    <w:rsid w:val="00E711D9"/>
    <w:rsid w:val="00E7153D"/>
    <w:rsid w:val="00E71671"/>
    <w:rsid w:val="00E73ADB"/>
    <w:rsid w:val="00E77F4F"/>
    <w:rsid w:val="00E8169C"/>
    <w:rsid w:val="00E87AED"/>
    <w:rsid w:val="00E90C2B"/>
    <w:rsid w:val="00E93997"/>
    <w:rsid w:val="00E94DE6"/>
    <w:rsid w:val="00E95067"/>
    <w:rsid w:val="00E96789"/>
    <w:rsid w:val="00E971ED"/>
    <w:rsid w:val="00E9766F"/>
    <w:rsid w:val="00E97E8A"/>
    <w:rsid w:val="00EA040D"/>
    <w:rsid w:val="00EA12A9"/>
    <w:rsid w:val="00EA52FF"/>
    <w:rsid w:val="00EB3E75"/>
    <w:rsid w:val="00EB4DCF"/>
    <w:rsid w:val="00EC21C1"/>
    <w:rsid w:val="00EC31A0"/>
    <w:rsid w:val="00EC5054"/>
    <w:rsid w:val="00EC7771"/>
    <w:rsid w:val="00ED0B1F"/>
    <w:rsid w:val="00EE6AE5"/>
    <w:rsid w:val="00EF178D"/>
    <w:rsid w:val="00EF1793"/>
    <w:rsid w:val="00EF4F57"/>
    <w:rsid w:val="00F0429C"/>
    <w:rsid w:val="00F12CB3"/>
    <w:rsid w:val="00F15DA8"/>
    <w:rsid w:val="00F16881"/>
    <w:rsid w:val="00F20108"/>
    <w:rsid w:val="00F206D1"/>
    <w:rsid w:val="00F246E9"/>
    <w:rsid w:val="00F322FB"/>
    <w:rsid w:val="00F376BB"/>
    <w:rsid w:val="00F41EB8"/>
    <w:rsid w:val="00F425D0"/>
    <w:rsid w:val="00F511CA"/>
    <w:rsid w:val="00F6228C"/>
    <w:rsid w:val="00F71AE4"/>
    <w:rsid w:val="00F72B62"/>
    <w:rsid w:val="00F75BA4"/>
    <w:rsid w:val="00F844FB"/>
    <w:rsid w:val="00F85A64"/>
    <w:rsid w:val="00F87323"/>
    <w:rsid w:val="00F92357"/>
    <w:rsid w:val="00F925C0"/>
    <w:rsid w:val="00F93A25"/>
    <w:rsid w:val="00F946DD"/>
    <w:rsid w:val="00FC043A"/>
    <w:rsid w:val="00FC0DBB"/>
    <w:rsid w:val="00FC4504"/>
    <w:rsid w:val="00FC5942"/>
    <w:rsid w:val="00FE0BF3"/>
    <w:rsid w:val="00FE0F84"/>
    <w:rsid w:val="00FE1B71"/>
    <w:rsid w:val="00FE2D90"/>
    <w:rsid w:val="00FE2EB3"/>
    <w:rsid w:val="00FE336A"/>
    <w:rsid w:val="00FE42B0"/>
    <w:rsid w:val="00FE6303"/>
    <w:rsid w:val="00FF5138"/>
    <w:rsid w:val="00FF7DF6"/>
    <w:rsid w:val="034C0E76"/>
    <w:rsid w:val="049B29AE"/>
    <w:rsid w:val="04AD59C0"/>
    <w:rsid w:val="0585BAE2"/>
    <w:rsid w:val="063C892D"/>
    <w:rsid w:val="0684FE63"/>
    <w:rsid w:val="06E30C4A"/>
    <w:rsid w:val="0847ED50"/>
    <w:rsid w:val="08E3F496"/>
    <w:rsid w:val="0992E7BA"/>
    <w:rsid w:val="09E74877"/>
    <w:rsid w:val="09F3004A"/>
    <w:rsid w:val="0AB181FA"/>
    <w:rsid w:val="0ADC6078"/>
    <w:rsid w:val="0B4E8772"/>
    <w:rsid w:val="0B748F7B"/>
    <w:rsid w:val="0BDFEBAF"/>
    <w:rsid w:val="0D06121C"/>
    <w:rsid w:val="0D6CC044"/>
    <w:rsid w:val="0DE00671"/>
    <w:rsid w:val="0E930D7F"/>
    <w:rsid w:val="0F9E4193"/>
    <w:rsid w:val="105E8218"/>
    <w:rsid w:val="10B4C419"/>
    <w:rsid w:val="10F10C15"/>
    <w:rsid w:val="11652CD7"/>
    <w:rsid w:val="12FBF92F"/>
    <w:rsid w:val="13104D34"/>
    <w:rsid w:val="1475CC48"/>
    <w:rsid w:val="15EEF7C4"/>
    <w:rsid w:val="15F1FC33"/>
    <w:rsid w:val="1947BC62"/>
    <w:rsid w:val="19B3BB9C"/>
    <w:rsid w:val="1AAB9158"/>
    <w:rsid w:val="1AF7F1E0"/>
    <w:rsid w:val="1B4F8BFD"/>
    <w:rsid w:val="1BB000EB"/>
    <w:rsid w:val="1BBC8D42"/>
    <w:rsid w:val="1BDA2760"/>
    <w:rsid w:val="1BE98CC0"/>
    <w:rsid w:val="1C6DF6EA"/>
    <w:rsid w:val="1CA28386"/>
    <w:rsid w:val="1D0484BB"/>
    <w:rsid w:val="1E401555"/>
    <w:rsid w:val="1E872CBF"/>
    <w:rsid w:val="2084180F"/>
    <w:rsid w:val="20AA8D1E"/>
    <w:rsid w:val="2197B1B5"/>
    <w:rsid w:val="21BECD81"/>
    <w:rsid w:val="21BEEA02"/>
    <w:rsid w:val="220FD4ED"/>
    <w:rsid w:val="2573F17B"/>
    <w:rsid w:val="25A7141E"/>
    <w:rsid w:val="28C8D971"/>
    <w:rsid w:val="294CD1DF"/>
    <w:rsid w:val="2A58006D"/>
    <w:rsid w:val="2CAD194B"/>
    <w:rsid w:val="2CEE940E"/>
    <w:rsid w:val="2DE55BAE"/>
    <w:rsid w:val="2E103248"/>
    <w:rsid w:val="2E3D9BBD"/>
    <w:rsid w:val="2E7F128E"/>
    <w:rsid w:val="2E93D526"/>
    <w:rsid w:val="2EA450A7"/>
    <w:rsid w:val="2FFBE203"/>
    <w:rsid w:val="305D6C22"/>
    <w:rsid w:val="3218B94A"/>
    <w:rsid w:val="34003F30"/>
    <w:rsid w:val="34BFC9ED"/>
    <w:rsid w:val="34EC1DB4"/>
    <w:rsid w:val="369364DB"/>
    <w:rsid w:val="37A08E46"/>
    <w:rsid w:val="37BA1C56"/>
    <w:rsid w:val="38F260D5"/>
    <w:rsid w:val="3966C0AA"/>
    <w:rsid w:val="3B239128"/>
    <w:rsid w:val="3B653C08"/>
    <w:rsid w:val="3C433E5E"/>
    <w:rsid w:val="3C566E27"/>
    <w:rsid w:val="3DF23E88"/>
    <w:rsid w:val="3E13495F"/>
    <w:rsid w:val="3F1A9617"/>
    <w:rsid w:val="3FD23C8A"/>
    <w:rsid w:val="4240ABEA"/>
    <w:rsid w:val="42CC143F"/>
    <w:rsid w:val="438A18A5"/>
    <w:rsid w:val="43D4D08A"/>
    <w:rsid w:val="44B9B47D"/>
    <w:rsid w:val="46F509FA"/>
    <w:rsid w:val="48189173"/>
    <w:rsid w:val="49720982"/>
    <w:rsid w:val="49C5366F"/>
    <w:rsid w:val="4A0A17C3"/>
    <w:rsid w:val="4AD8AF16"/>
    <w:rsid w:val="4B2D1A74"/>
    <w:rsid w:val="4B3FE707"/>
    <w:rsid w:val="4B5A7C9D"/>
    <w:rsid w:val="4C11240F"/>
    <w:rsid w:val="4C32691C"/>
    <w:rsid w:val="4C331E91"/>
    <w:rsid w:val="4C796C36"/>
    <w:rsid w:val="4D0807FD"/>
    <w:rsid w:val="4D38613D"/>
    <w:rsid w:val="4DAF04D8"/>
    <w:rsid w:val="4E104FD8"/>
    <w:rsid w:val="4E24D973"/>
    <w:rsid w:val="4E619FB5"/>
    <w:rsid w:val="4E64BB36"/>
    <w:rsid w:val="4ECFC4B7"/>
    <w:rsid w:val="4F5A4B8F"/>
    <w:rsid w:val="500A1208"/>
    <w:rsid w:val="5016F8E4"/>
    <w:rsid w:val="516F89B5"/>
    <w:rsid w:val="52979676"/>
    <w:rsid w:val="52C047A5"/>
    <w:rsid w:val="53945CA2"/>
    <w:rsid w:val="53A64B49"/>
    <w:rsid w:val="54293B79"/>
    <w:rsid w:val="547F915C"/>
    <w:rsid w:val="55028A80"/>
    <w:rsid w:val="5766C457"/>
    <w:rsid w:val="57C3396F"/>
    <w:rsid w:val="588F32D4"/>
    <w:rsid w:val="595B10BE"/>
    <w:rsid w:val="5C2E08DB"/>
    <w:rsid w:val="5CCA751C"/>
    <w:rsid w:val="5EA67A32"/>
    <w:rsid w:val="5EB02EAF"/>
    <w:rsid w:val="5F8993A8"/>
    <w:rsid w:val="5FA8C5B7"/>
    <w:rsid w:val="5FD44877"/>
    <w:rsid w:val="600355A9"/>
    <w:rsid w:val="6007DB12"/>
    <w:rsid w:val="60848532"/>
    <w:rsid w:val="61A1DC63"/>
    <w:rsid w:val="62BBF5FA"/>
    <w:rsid w:val="62F11083"/>
    <w:rsid w:val="64D912E6"/>
    <w:rsid w:val="6540DAD6"/>
    <w:rsid w:val="65C4BB1A"/>
    <w:rsid w:val="661595CD"/>
    <w:rsid w:val="66F4032F"/>
    <w:rsid w:val="66FF925B"/>
    <w:rsid w:val="68C4F6B8"/>
    <w:rsid w:val="6A1588CD"/>
    <w:rsid w:val="6A19356A"/>
    <w:rsid w:val="6A338B5D"/>
    <w:rsid w:val="6A61FFA2"/>
    <w:rsid w:val="6AB10AFF"/>
    <w:rsid w:val="6B3EC3DE"/>
    <w:rsid w:val="6C42FAEF"/>
    <w:rsid w:val="6CB340C9"/>
    <w:rsid w:val="6E39A79F"/>
    <w:rsid w:val="6EAF4AED"/>
    <w:rsid w:val="6EC11503"/>
    <w:rsid w:val="6F4A30AF"/>
    <w:rsid w:val="6F91B611"/>
    <w:rsid w:val="70760516"/>
    <w:rsid w:val="71A57FAE"/>
    <w:rsid w:val="7365AD75"/>
    <w:rsid w:val="736DD50C"/>
    <w:rsid w:val="73D56D58"/>
    <w:rsid w:val="73DBD23B"/>
    <w:rsid w:val="73DCBC93"/>
    <w:rsid w:val="76102E93"/>
    <w:rsid w:val="767D93EF"/>
    <w:rsid w:val="7705DC36"/>
    <w:rsid w:val="781062B4"/>
    <w:rsid w:val="79082D82"/>
    <w:rsid w:val="793F391F"/>
    <w:rsid w:val="7A82FA58"/>
    <w:rsid w:val="7A963B96"/>
    <w:rsid w:val="7B2FE3D8"/>
    <w:rsid w:val="7C6B1749"/>
    <w:rsid w:val="7DFA31A7"/>
    <w:rsid w:val="7ECD4DD1"/>
    <w:rsid w:val="7F8F0587"/>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1B6601"/>
  <w15:docId w15:val="{EDF5CF06-369F-437B-92B2-6DD400350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link w:val="Heading1Char"/>
    <w:uiPriority w:val="9"/>
    <w:qFormat/>
    <w:rsid w:val="00BE00F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133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4535A"/>
    <w:pPr>
      <w:ind w:left="720"/>
      <w:contextualSpacing/>
    </w:pPr>
  </w:style>
  <w:style w:type="paragraph" w:styleId="BalloonText">
    <w:name w:val="Balloon Text"/>
    <w:basedOn w:val="Normal"/>
    <w:link w:val="BalloonTextChar"/>
    <w:uiPriority w:val="99"/>
    <w:semiHidden/>
    <w:unhideWhenUsed/>
    <w:rsid w:val="005457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5725"/>
    <w:rPr>
      <w:rFonts w:ascii="Segoe UI" w:hAnsi="Segoe UI" w:cs="Segoe UI"/>
      <w:sz w:val="18"/>
      <w:szCs w:val="18"/>
    </w:rPr>
  </w:style>
  <w:style w:type="character" w:styleId="Hyperlink">
    <w:name w:val="Hyperlink"/>
    <w:basedOn w:val="DefaultParagraphFont"/>
    <w:uiPriority w:val="99"/>
    <w:unhideWhenUsed/>
    <w:rsid w:val="00066BBC"/>
    <w:rPr>
      <w:color w:val="0000FF"/>
      <w:u w:val="single"/>
    </w:rPr>
  </w:style>
  <w:style w:type="character" w:customStyle="1" w:styleId="UnresolvedMention1">
    <w:name w:val="Unresolved Mention1"/>
    <w:basedOn w:val="DefaultParagraphFont"/>
    <w:uiPriority w:val="99"/>
    <w:semiHidden/>
    <w:unhideWhenUsed/>
    <w:rsid w:val="00757E75"/>
    <w:rPr>
      <w:color w:val="605E5C"/>
      <w:shd w:val="clear" w:color="auto" w:fill="E1DFDD"/>
    </w:rPr>
  </w:style>
  <w:style w:type="paragraph" w:styleId="NormalWeb">
    <w:name w:val="Normal (Web)"/>
    <w:basedOn w:val="Normal"/>
    <w:uiPriority w:val="99"/>
    <w:semiHidden/>
    <w:unhideWhenUsed/>
    <w:rsid w:val="00063947"/>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E00F9"/>
    <w:rPr>
      <w:sz w:val="16"/>
      <w:szCs w:val="16"/>
    </w:rPr>
  </w:style>
  <w:style w:type="paragraph" w:styleId="CommentText">
    <w:name w:val="annotation text"/>
    <w:basedOn w:val="Normal"/>
    <w:link w:val="CommentTextChar"/>
    <w:uiPriority w:val="99"/>
    <w:unhideWhenUsed/>
    <w:rsid w:val="00BE00F9"/>
    <w:pPr>
      <w:spacing w:line="240" w:lineRule="auto"/>
    </w:pPr>
    <w:rPr>
      <w:sz w:val="20"/>
      <w:szCs w:val="20"/>
    </w:rPr>
  </w:style>
  <w:style w:type="character" w:customStyle="1" w:styleId="CommentTextChar">
    <w:name w:val="Comment Text Char"/>
    <w:basedOn w:val="DefaultParagraphFont"/>
    <w:link w:val="CommentText"/>
    <w:uiPriority w:val="99"/>
    <w:rsid w:val="00BE00F9"/>
    <w:rPr>
      <w:sz w:val="20"/>
      <w:szCs w:val="20"/>
    </w:rPr>
  </w:style>
  <w:style w:type="paragraph" w:styleId="CommentSubject">
    <w:name w:val="annotation subject"/>
    <w:basedOn w:val="CommentText"/>
    <w:next w:val="CommentText"/>
    <w:link w:val="CommentSubjectChar"/>
    <w:uiPriority w:val="99"/>
    <w:semiHidden/>
    <w:unhideWhenUsed/>
    <w:rsid w:val="00BE00F9"/>
    <w:rPr>
      <w:b/>
      <w:bCs/>
    </w:rPr>
  </w:style>
  <w:style w:type="character" w:customStyle="1" w:styleId="CommentSubjectChar">
    <w:name w:val="Comment Subject Char"/>
    <w:basedOn w:val="CommentTextChar"/>
    <w:link w:val="CommentSubject"/>
    <w:uiPriority w:val="99"/>
    <w:semiHidden/>
    <w:rsid w:val="00BE00F9"/>
    <w:rPr>
      <w:b/>
      <w:bCs/>
      <w:sz w:val="20"/>
      <w:szCs w:val="20"/>
    </w:rPr>
  </w:style>
  <w:style w:type="character" w:customStyle="1" w:styleId="Heading1Char">
    <w:name w:val="Heading 1 Char"/>
    <w:basedOn w:val="DefaultParagraphFont"/>
    <w:link w:val="Heading1"/>
    <w:uiPriority w:val="9"/>
    <w:rsid w:val="00BE00F9"/>
    <w:rPr>
      <w:rFonts w:ascii="Times New Roman" w:eastAsia="Times New Roman" w:hAnsi="Times New Roman" w:cs="Times New Roman"/>
      <w:b/>
      <w:bCs/>
      <w:kern w:val="36"/>
      <w:sz w:val="48"/>
      <w:szCs w:val="48"/>
    </w:rPr>
  </w:style>
  <w:style w:type="paragraph" w:styleId="Revision">
    <w:name w:val="Revision"/>
    <w:hidden/>
    <w:uiPriority w:val="99"/>
    <w:semiHidden/>
    <w:rsid w:val="00EA52FF"/>
    <w:pPr>
      <w:spacing w:after="0" w:line="240" w:lineRule="auto"/>
    </w:pPr>
  </w:style>
  <w:style w:type="character" w:styleId="UnresolvedMention">
    <w:name w:val="Unresolved Mention"/>
    <w:basedOn w:val="DefaultParagraphFont"/>
    <w:uiPriority w:val="99"/>
    <w:semiHidden/>
    <w:unhideWhenUsed/>
    <w:rsid w:val="009B38EA"/>
    <w:rPr>
      <w:color w:val="605E5C"/>
      <w:shd w:val="clear" w:color="auto" w:fill="E1DFDD"/>
    </w:rPr>
  </w:style>
  <w:style w:type="paragraph" w:styleId="Header">
    <w:name w:val="header"/>
    <w:basedOn w:val="Normal"/>
    <w:link w:val="HeaderChar"/>
    <w:uiPriority w:val="99"/>
    <w:unhideWhenUsed/>
    <w:rsid w:val="009423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350"/>
    <w:rPr>
      <w:lang w:val="en-GB"/>
    </w:rPr>
  </w:style>
  <w:style w:type="paragraph" w:styleId="Footer">
    <w:name w:val="footer"/>
    <w:basedOn w:val="Normal"/>
    <w:link w:val="FooterChar"/>
    <w:uiPriority w:val="99"/>
    <w:unhideWhenUsed/>
    <w:rsid w:val="009423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350"/>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048272">
      <w:bodyDiv w:val="1"/>
      <w:marLeft w:val="0"/>
      <w:marRight w:val="0"/>
      <w:marTop w:val="0"/>
      <w:marBottom w:val="0"/>
      <w:divBdr>
        <w:top w:val="none" w:sz="0" w:space="0" w:color="auto"/>
        <w:left w:val="none" w:sz="0" w:space="0" w:color="auto"/>
        <w:bottom w:val="none" w:sz="0" w:space="0" w:color="auto"/>
        <w:right w:val="none" w:sz="0" w:space="0" w:color="auto"/>
      </w:divBdr>
    </w:div>
    <w:div w:id="41103095">
      <w:bodyDiv w:val="1"/>
      <w:marLeft w:val="0"/>
      <w:marRight w:val="0"/>
      <w:marTop w:val="0"/>
      <w:marBottom w:val="0"/>
      <w:divBdr>
        <w:top w:val="none" w:sz="0" w:space="0" w:color="auto"/>
        <w:left w:val="none" w:sz="0" w:space="0" w:color="auto"/>
        <w:bottom w:val="none" w:sz="0" w:space="0" w:color="auto"/>
        <w:right w:val="none" w:sz="0" w:space="0" w:color="auto"/>
      </w:divBdr>
      <w:divsChild>
        <w:div w:id="1718821884">
          <w:marLeft w:val="547"/>
          <w:marRight w:val="0"/>
          <w:marTop w:val="96"/>
          <w:marBottom w:val="0"/>
          <w:divBdr>
            <w:top w:val="none" w:sz="0" w:space="0" w:color="auto"/>
            <w:left w:val="none" w:sz="0" w:space="0" w:color="auto"/>
            <w:bottom w:val="none" w:sz="0" w:space="0" w:color="auto"/>
            <w:right w:val="none" w:sz="0" w:space="0" w:color="auto"/>
          </w:divBdr>
        </w:div>
        <w:div w:id="897743866">
          <w:marLeft w:val="547"/>
          <w:marRight w:val="0"/>
          <w:marTop w:val="96"/>
          <w:marBottom w:val="0"/>
          <w:divBdr>
            <w:top w:val="none" w:sz="0" w:space="0" w:color="auto"/>
            <w:left w:val="none" w:sz="0" w:space="0" w:color="auto"/>
            <w:bottom w:val="none" w:sz="0" w:space="0" w:color="auto"/>
            <w:right w:val="none" w:sz="0" w:space="0" w:color="auto"/>
          </w:divBdr>
        </w:div>
        <w:div w:id="22440109">
          <w:marLeft w:val="547"/>
          <w:marRight w:val="0"/>
          <w:marTop w:val="96"/>
          <w:marBottom w:val="0"/>
          <w:divBdr>
            <w:top w:val="none" w:sz="0" w:space="0" w:color="auto"/>
            <w:left w:val="none" w:sz="0" w:space="0" w:color="auto"/>
            <w:bottom w:val="none" w:sz="0" w:space="0" w:color="auto"/>
            <w:right w:val="none" w:sz="0" w:space="0" w:color="auto"/>
          </w:divBdr>
        </w:div>
        <w:div w:id="631709455">
          <w:marLeft w:val="547"/>
          <w:marRight w:val="0"/>
          <w:marTop w:val="96"/>
          <w:marBottom w:val="0"/>
          <w:divBdr>
            <w:top w:val="none" w:sz="0" w:space="0" w:color="auto"/>
            <w:left w:val="none" w:sz="0" w:space="0" w:color="auto"/>
            <w:bottom w:val="none" w:sz="0" w:space="0" w:color="auto"/>
            <w:right w:val="none" w:sz="0" w:space="0" w:color="auto"/>
          </w:divBdr>
        </w:div>
      </w:divsChild>
    </w:div>
    <w:div w:id="83918442">
      <w:bodyDiv w:val="1"/>
      <w:marLeft w:val="0"/>
      <w:marRight w:val="0"/>
      <w:marTop w:val="0"/>
      <w:marBottom w:val="0"/>
      <w:divBdr>
        <w:top w:val="none" w:sz="0" w:space="0" w:color="auto"/>
        <w:left w:val="none" w:sz="0" w:space="0" w:color="auto"/>
        <w:bottom w:val="none" w:sz="0" w:space="0" w:color="auto"/>
        <w:right w:val="none" w:sz="0" w:space="0" w:color="auto"/>
      </w:divBdr>
    </w:div>
    <w:div w:id="102262765">
      <w:bodyDiv w:val="1"/>
      <w:marLeft w:val="0"/>
      <w:marRight w:val="0"/>
      <w:marTop w:val="0"/>
      <w:marBottom w:val="0"/>
      <w:divBdr>
        <w:top w:val="none" w:sz="0" w:space="0" w:color="auto"/>
        <w:left w:val="none" w:sz="0" w:space="0" w:color="auto"/>
        <w:bottom w:val="none" w:sz="0" w:space="0" w:color="auto"/>
        <w:right w:val="none" w:sz="0" w:space="0" w:color="auto"/>
      </w:divBdr>
    </w:div>
    <w:div w:id="109210225">
      <w:bodyDiv w:val="1"/>
      <w:marLeft w:val="0"/>
      <w:marRight w:val="0"/>
      <w:marTop w:val="0"/>
      <w:marBottom w:val="0"/>
      <w:divBdr>
        <w:top w:val="none" w:sz="0" w:space="0" w:color="auto"/>
        <w:left w:val="none" w:sz="0" w:space="0" w:color="auto"/>
        <w:bottom w:val="none" w:sz="0" w:space="0" w:color="auto"/>
        <w:right w:val="none" w:sz="0" w:space="0" w:color="auto"/>
      </w:divBdr>
    </w:div>
    <w:div w:id="124084092">
      <w:bodyDiv w:val="1"/>
      <w:marLeft w:val="0"/>
      <w:marRight w:val="0"/>
      <w:marTop w:val="0"/>
      <w:marBottom w:val="0"/>
      <w:divBdr>
        <w:top w:val="none" w:sz="0" w:space="0" w:color="auto"/>
        <w:left w:val="none" w:sz="0" w:space="0" w:color="auto"/>
        <w:bottom w:val="none" w:sz="0" w:space="0" w:color="auto"/>
        <w:right w:val="none" w:sz="0" w:space="0" w:color="auto"/>
      </w:divBdr>
    </w:div>
    <w:div w:id="130679720">
      <w:bodyDiv w:val="1"/>
      <w:marLeft w:val="0"/>
      <w:marRight w:val="0"/>
      <w:marTop w:val="0"/>
      <w:marBottom w:val="0"/>
      <w:divBdr>
        <w:top w:val="none" w:sz="0" w:space="0" w:color="auto"/>
        <w:left w:val="none" w:sz="0" w:space="0" w:color="auto"/>
        <w:bottom w:val="none" w:sz="0" w:space="0" w:color="auto"/>
        <w:right w:val="none" w:sz="0" w:space="0" w:color="auto"/>
      </w:divBdr>
    </w:div>
    <w:div w:id="187528513">
      <w:bodyDiv w:val="1"/>
      <w:marLeft w:val="0"/>
      <w:marRight w:val="0"/>
      <w:marTop w:val="0"/>
      <w:marBottom w:val="0"/>
      <w:divBdr>
        <w:top w:val="none" w:sz="0" w:space="0" w:color="auto"/>
        <w:left w:val="none" w:sz="0" w:space="0" w:color="auto"/>
        <w:bottom w:val="none" w:sz="0" w:space="0" w:color="auto"/>
        <w:right w:val="none" w:sz="0" w:space="0" w:color="auto"/>
      </w:divBdr>
    </w:div>
    <w:div w:id="208035466">
      <w:bodyDiv w:val="1"/>
      <w:marLeft w:val="0"/>
      <w:marRight w:val="0"/>
      <w:marTop w:val="0"/>
      <w:marBottom w:val="0"/>
      <w:divBdr>
        <w:top w:val="none" w:sz="0" w:space="0" w:color="auto"/>
        <w:left w:val="none" w:sz="0" w:space="0" w:color="auto"/>
        <w:bottom w:val="none" w:sz="0" w:space="0" w:color="auto"/>
        <w:right w:val="none" w:sz="0" w:space="0" w:color="auto"/>
      </w:divBdr>
      <w:divsChild>
        <w:div w:id="1487893068">
          <w:marLeft w:val="547"/>
          <w:marRight w:val="0"/>
          <w:marTop w:val="96"/>
          <w:marBottom w:val="0"/>
          <w:divBdr>
            <w:top w:val="none" w:sz="0" w:space="0" w:color="auto"/>
            <w:left w:val="none" w:sz="0" w:space="0" w:color="auto"/>
            <w:bottom w:val="none" w:sz="0" w:space="0" w:color="auto"/>
            <w:right w:val="none" w:sz="0" w:space="0" w:color="auto"/>
          </w:divBdr>
        </w:div>
        <w:div w:id="562566660">
          <w:marLeft w:val="547"/>
          <w:marRight w:val="0"/>
          <w:marTop w:val="96"/>
          <w:marBottom w:val="0"/>
          <w:divBdr>
            <w:top w:val="none" w:sz="0" w:space="0" w:color="auto"/>
            <w:left w:val="none" w:sz="0" w:space="0" w:color="auto"/>
            <w:bottom w:val="none" w:sz="0" w:space="0" w:color="auto"/>
            <w:right w:val="none" w:sz="0" w:space="0" w:color="auto"/>
          </w:divBdr>
        </w:div>
        <w:div w:id="327563328">
          <w:marLeft w:val="1166"/>
          <w:marRight w:val="0"/>
          <w:marTop w:val="77"/>
          <w:marBottom w:val="0"/>
          <w:divBdr>
            <w:top w:val="none" w:sz="0" w:space="0" w:color="auto"/>
            <w:left w:val="none" w:sz="0" w:space="0" w:color="auto"/>
            <w:bottom w:val="none" w:sz="0" w:space="0" w:color="auto"/>
            <w:right w:val="none" w:sz="0" w:space="0" w:color="auto"/>
          </w:divBdr>
        </w:div>
        <w:div w:id="1365406887">
          <w:marLeft w:val="1166"/>
          <w:marRight w:val="0"/>
          <w:marTop w:val="77"/>
          <w:marBottom w:val="0"/>
          <w:divBdr>
            <w:top w:val="none" w:sz="0" w:space="0" w:color="auto"/>
            <w:left w:val="none" w:sz="0" w:space="0" w:color="auto"/>
            <w:bottom w:val="none" w:sz="0" w:space="0" w:color="auto"/>
            <w:right w:val="none" w:sz="0" w:space="0" w:color="auto"/>
          </w:divBdr>
        </w:div>
        <w:div w:id="308438844">
          <w:marLeft w:val="547"/>
          <w:marRight w:val="0"/>
          <w:marTop w:val="96"/>
          <w:marBottom w:val="0"/>
          <w:divBdr>
            <w:top w:val="none" w:sz="0" w:space="0" w:color="auto"/>
            <w:left w:val="none" w:sz="0" w:space="0" w:color="auto"/>
            <w:bottom w:val="none" w:sz="0" w:space="0" w:color="auto"/>
            <w:right w:val="none" w:sz="0" w:space="0" w:color="auto"/>
          </w:divBdr>
        </w:div>
      </w:divsChild>
    </w:div>
    <w:div w:id="208566998">
      <w:bodyDiv w:val="1"/>
      <w:marLeft w:val="0"/>
      <w:marRight w:val="0"/>
      <w:marTop w:val="0"/>
      <w:marBottom w:val="0"/>
      <w:divBdr>
        <w:top w:val="none" w:sz="0" w:space="0" w:color="auto"/>
        <w:left w:val="none" w:sz="0" w:space="0" w:color="auto"/>
        <w:bottom w:val="none" w:sz="0" w:space="0" w:color="auto"/>
        <w:right w:val="none" w:sz="0" w:space="0" w:color="auto"/>
      </w:divBdr>
    </w:div>
    <w:div w:id="241529208">
      <w:bodyDiv w:val="1"/>
      <w:marLeft w:val="0"/>
      <w:marRight w:val="0"/>
      <w:marTop w:val="0"/>
      <w:marBottom w:val="0"/>
      <w:divBdr>
        <w:top w:val="none" w:sz="0" w:space="0" w:color="auto"/>
        <w:left w:val="none" w:sz="0" w:space="0" w:color="auto"/>
        <w:bottom w:val="none" w:sz="0" w:space="0" w:color="auto"/>
        <w:right w:val="none" w:sz="0" w:space="0" w:color="auto"/>
      </w:divBdr>
    </w:div>
    <w:div w:id="245189600">
      <w:bodyDiv w:val="1"/>
      <w:marLeft w:val="0"/>
      <w:marRight w:val="0"/>
      <w:marTop w:val="0"/>
      <w:marBottom w:val="0"/>
      <w:divBdr>
        <w:top w:val="none" w:sz="0" w:space="0" w:color="auto"/>
        <w:left w:val="none" w:sz="0" w:space="0" w:color="auto"/>
        <w:bottom w:val="none" w:sz="0" w:space="0" w:color="auto"/>
        <w:right w:val="none" w:sz="0" w:space="0" w:color="auto"/>
      </w:divBdr>
    </w:div>
    <w:div w:id="247084616">
      <w:bodyDiv w:val="1"/>
      <w:marLeft w:val="0"/>
      <w:marRight w:val="0"/>
      <w:marTop w:val="0"/>
      <w:marBottom w:val="0"/>
      <w:divBdr>
        <w:top w:val="none" w:sz="0" w:space="0" w:color="auto"/>
        <w:left w:val="none" w:sz="0" w:space="0" w:color="auto"/>
        <w:bottom w:val="none" w:sz="0" w:space="0" w:color="auto"/>
        <w:right w:val="none" w:sz="0" w:space="0" w:color="auto"/>
      </w:divBdr>
    </w:div>
    <w:div w:id="271405128">
      <w:bodyDiv w:val="1"/>
      <w:marLeft w:val="0"/>
      <w:marRight w:val="0"/>
      <w:marTop w:val="0"/>
      <w:marBottom w:val="0"/>
      <w:divBdr>
        <w:top w:val="none" w:sz="0" w:space="0" w:color="auto"/>
        <w:left w:val="none" w:sz="0" w:space="0" w:color="auto"/>
        <w:bottom w:val="none" w:sz="0" w:space="0" w:color="auto"/>
        <w:right w:val="none" w:sz="0" w:space="0" w:color="auto"/>
      </w:divBdr>
    </w:div>
    <w:div w:id="299728847">
      <w:bodyDiv w:val="1"/>
      <w:marLeft w:val="0"/>
      <w:marRight w:val="0"/>
      <w:marTop w:val="0"/>
      <w:marBottom w:val="0"/>
      <w:divBdr>
        <w:top w:val="none" w:sz="0" w:space="0" w:color="auto"/>
        <w:left w:val="none" w:sz="0" w:space="0" w:color="auto"/>
        <w:bottom w:val="none" w:sz="0" w:space="0" w:color="auto"/>
        <w:right w:val="none" w:sz="0" w:space="0" w:color="auto"/>
      </w:divBdr>
      <w:divsChild>
        <w:div w:id="1406494183">
          <w:marLeft w:val="547"/>
          <w:marRight w:val="0"/>
          <w:marTop w:val="86"/>
          <w:marBottom w:val="0"/>
          <w:divBdr>
            <w:top w:val="none" w:sz="0" w:space="0" w:color="auto"/>
            <w:left w:val="none" w:sz="0" w:space="0" w:color="auto"/>
            <w:bottom w:val="none" w:sz="0" w:space="0" w:color="auto"/>
            <w:right w:val="none" w:sz="0" w:space="0" w:color="auto"/>
          </w:divBdr>
        </w:div>
        <w:div w:id="1320158511">
          <w:marLeft w:val="547"/>
          <w:marRight w:val="0"/>
          <w:marTop w:val="86"/>
          <w:marBottom w:val="0"/>
          <w:divBdr>
            <w:top w:val="none" w:sz="0" w:space="0" w:color="auto"/>
            <w:left w:val="none" w:sz="0" w:space="0" w:color="auto"/>
            <w:bottom w:val="none" w:sz="0" w:space="0" w:color="auto"/>
            <w:right w:val="none" w:sz="0" w:space="0" w:color="auto"/>
          </w:divBdr>
        </w:div>
        <w:div w:id="1337683291">
          <w:marLeft w:val="1166"/>
          <w:marRight w:val="0"/>
          <w:marTop w:val="67"/>
          <w:marBottom w:val="0"/>
          <w:divBdr>
            <w:top w:val="none" w:sz="0" w:space="0" w:color="auto"/>
            <w:left w:val="none" w:sz="0" w:space="0" w:color="auto"/>
            <w:bottom w:val="none" w:sz="0" w:space="0" w:color="auto"/>
            <w:right w:val="none" w:sz="0" w:space="0" w:color="auto"/>
          </w:divBdr>
        </w:div>
        <w:div w:id="728264538">
          <w:marLeft w:val="547"/>
          <w:marRight w:val="0"/>
          <w:marTop w:val="86"/>
          <w:marBottom w:val="0"/>
          <w:divBdr>
            <w:top w:val="none" w:sz="0" w:space="0" w:color="auto"/>
            <w:left w:val="none" w:sz="0" w:space="0" w:color="auto"/>
            <w:bottom w:val="none" w:sz="0" w:space="0" w:color="auto"/>
            <w:right w:val="none" w:sz="0" w:space="0" w:color="auto"/>
          </w:divBdr>
        </w:div>
        <w:div w:id="128399816">
          <w:marLeft w:val="547"/>
          <w:marRight w:val="0"/>
          <w:marTop w:val="86"/>
          <w:marBottom w:val="0"/>
          <w:divBdr>
            <w:top w:val="none" w:sz="0" w:space="0" w:color="auto"/>
            <w:left w:val="none" w:sz="0" w:space="0" w:color="auto"/>
            <w:bottom w:val="none" w:sz="0" w:space="0" w:color="auto"/>
            <w:right w:val="none" w:sz="0" w:space="0" w:color="auto"/>
          </w:divBdr>
        </w:div>
        <w:div w:id="1950817127">
          <w:marLeft w:val="1166"/>
          <w:marRight w:val="0"/>
          <w:marTop w:val="67"/>
          <w:marBottom w:val="0"/>
          <w:divBdr>
            <w:top w:val="none" w:sz="0" w:space="0" w:color="auto"/>
            <w:left w:val="none" w:sz="0" w:space="0" w:color="auto"/>
            <w:bottom w:val="none" w:sz="0" w:space="0" w:color="auto"/>
            <w:right w:val="none" w:sz="0" w:space="0" w:color="auto"/>
          </w:divBdr>
        </w:div>
        <w:div w:id="1604533740">
          <w:marLeft w:val="1166"/>
          <w:marRight w:val="0"/>
          <w:marTop w:val="67"/>
          <w:marBottom w:val="0"/>
          <w:divBdr>
            <w:top w:val="none" w:sz="0" w:space="0" w:color="auto"/>
            <w:left w:val="none" w:sz="0" w:space="0" w:color="auto"/>
            <w:bottom w:val="none" w:sz="0" w:space="0" w:color="auto"/>
            <w:right w:val="none" w:sz="0" w:space="0" w:color="auto"/>
          </w:divBdr>
        </w:div>
        <w:div w:id="585966178">
          <w:marLeft w:val="547"/>
          <w:marRight w:val="0"/>
          <w:marTop w:val="86"/>
          <w:marBottom w:val="0"/>
          <w:divBdr>
            <w:top w:val="none" w:sz="0" w:space="0" w:color="auto"/>
            <w:left w:val="none" w:sz="0" w:space="0" w:color="auto"/>
            <w:bottom w:val="none" w:sz="0" w:space="0" w:color="auto"/>
            <w:right w:val="none" w:sz="0" w:space="0" w:color="auto"/>
          </w:divBdr>
        </w:div>
      </w:divsChild>
    </w:div>
    <w:div w:id="302929633">
      <w:bodyDiv w:val="1"/>
      <w:marLeft w:val="0"/>
      <w:marRight w:val="0"/>
      <w:marTop w:val="0"/>
      <w:marBottom w:val="0"/>
      <w:divBdr>
        <w:top w:val="none" w:sz="0" w:space="0" w:color="auto"/>
        <w:left w:val="none" w:sz="0" w:space="0" w:color="auto"/>
        <w:bottom w:val="none" w:sz="0" w:space="0" w:color="auto"/>
        <w:right w:val="none" w:sz="0" w:space="0" w:color="auto"/>
      </w:divBdr>
    </w:div>
    <w:div w:id="346639733">
      <w:bodyDiv w:val="1"/>
      <w:marLeft w:val="0"/>
      <w:marRight w:val="0"/>
      <w:marTop w:val="0"/>
      <w:marBottom w:val="0"/>
      <w:divBdr>
        <w:top w:val="none" w:sz="0" w:space="0" w:color="auto"/>
        <w:left w:val="none" w:sz="0" w:space="0" w:color="auto"/>
        <w:bottom w:val="none" w:sz="0" w:space="0" w:color="auto"/>
        <w:right w:val="none" w:sz="0" w:space="0" w:color="auto"/>
      </w:divBdr>
      <w:divsChild>
        <w:div w:id="24256300">
          <w:marLeft w:val="547"/>
          <w:marRight w:val="0"/>
          <w:marTop w:val="67"/>
          <w:marBottom w:val="0"/>
          <w:divBdr>
            <w:top w:val="none" w:sz="0" w:space="0" w:color="auto"/>
            <w:left w:val="none" w:sz="0" w:space="0" w:color="auto"/>
            <w:bottom w:val="none" w:sz="0" w:space="0" w:color="auto"/>
            <w:right w:val="none" w:sz="0" w:space="0" w:color="auto"/>
          </w:divBdr>
        </w:div>
        <w:div w:id="87820416">
          <w:marLeft w:val="1166"/>
          <w:marRight w:val="0"/>
          <w:marTop w:val="67"/>
          <w:marBottom w:val="0"/>
          <w:divBdr>
            <w:top w:val="none" w:sz="0" w:space="0" w:color="auto"/>
            <w:left w:val="none" w:sz="0" w:space="0" w:color="auto"/>
            <w:bottom w:val="none" w:sz="0" w:space="0" w:color="auto"/>
            <w:right w:val="none" w:sz="0" w:space="0" w:color="auto"/>
          </w:divBdr>
        </w:div>
        <w:div w:id="58022840">
          <w:marLeft w:val="1166"/>
          <w:marRight w:val="0"/>
          <w:marTop w:val="67"/>
          <w:marBottom w:val="0"/>
          <w:divBdr>
            <w:top w:val="none" w:sz="0" w:space="0" w:color="auto"/>
            <w:left w:val="none" w:sz="0" w:space="0" w:color="auto"/>
            <w:bottom w:val="none" w:sz="0" w:space="0" w:color="auto"/>
            <w:right w:val="none" w:sz="0" w:space="0" w:color="auto"/>
          </w:divBdr>
        </w:div>
        <w:div w:id="195235069">
          <w:marLeft w:val="1800"/>
          <w:marRight w:val="0"/>
          <w:marTop w:val="67"/>
          <w:marBottom w:val="0"/>
          <w:divBdr>
            <w:top w:val="none" w:sz="0" w:space="0" w:color="auto"/>
            <w:left w:val="none" w:sz="0" w:space="0" w:color="auto"/>
            <w:bottom w:val="none" w:sz="0" w:space="0" w:color="auto"/>
            <w:right w:val="none" w:sz="0" w:space="0" w:color="auto"/>
          </w:divBdr>
        </w:div>
        <w:div w:id="55397680">
          <w:marLeft w:val="1166"/>
          <w:marRight w:val="0"/>
          <w:marTop w:val="67"/>
          <w:marBottom w:val="0"/>
          <w:divBdr>
            <w:top w:val="none" w:sz="0" w:space="0" w:color="auto"/>
            <w:left w:val="none" w:sz="0" w:space="0" w:color="auto"/>
            <w:bottom w:val="none" w:sz="0" w:space="0" w:color="auto"/>
            <w:right w:val="none" w:sz="0" w:space="0" w:color="auto"/>
          </w:divBdr>
        </w:div>
        <w:div w:id="261226632">
          <w:marLeft w:val="1800"/>
          <w:marRight w:val="0"/>
          <w:marTop w:val="67"/>
          <w:marBottom w:val="0"/>
          <w:divBdr>
            <w:top w:val="none" w:sz="0" w:space="0" w:color="auto"/>
            <w:left w:val="none" w:sz="0" w:space="0" w:color="auto"/>
            <w:bottom w:val="none" w:sz="0" w:space="0" w:color="auto"/>
            <w:right w:val="none" w:sz="0" w:space="0" w:color="auto"/>
          </w:divBdr>
        </w:div>
        <w:div w:id="1657029231">
          <w:marLeft w:val="1800"/>
          <w:marRight w:val="0"/>
          <w:marTop w:val="67"/>
          <w:marBottom w:val="0"/>
          <w:divBdr>
            <w:top w:val="none" w:sz="0" w:space="0" w:color="auto"/>
            <w:left w:val="none" w:sz="0" w:space="0" w:color="auto"/>
            <w:bottom w:val="none" w:sz="0" w:space="0" w:color="auto"/>
            <w:right w:val="none" w:sz="0" w:space="0" w:color="auto"/>
          </w:divBdr>
        </w:div>
        <w:div w:id="1036151684">
          <w:marLeft w:val="1800"/>
          <w:marRight w:val="0"/>
          <w:marTop w:val="67"/>
          <w:marBottom w:val="0"/>
          <w:divBdr>
            <w:top w:val="none" w:sz="0" w:space="0" w:color="auto"/>
            <w:left w:val="none" w:sz="0" w:space="0" w:color="auto"/>
            <w:bottom w:val="none" w:sz="0" w:space="0" w:color="auto"/>
            <w:right w:val="none" w:sz="0" w:space="0" w:color="auto"/>
          </w:divBdr>
        </w:div>
        <w:div w:id="1968702938">
          <w:marLeft w:val="547"/>
          <w:marRight w:val="0"/>
          <w:marTop w:val="67"/>
          <w:marBottom w:val="0"/>
          <w:divBdr>
            <w:top w:val="none" w:sz="0" w:space="0" w:color="auto"/>
            <w:left w:val="none" w:sz="0" w:space="0" w:color="auto"/>
            <w:bottom w:val="none" w:sz="0" w:space="0" w:color="auto"/>
            <w:right w:val="none" w:sz="0" w:space="0" w:color="auto"/>
          </w:divBdr>
        </w:div>
        <w:div w:id="680816652">
          <w:marLeft w:val="1166"/>
          <w:marRight w:val="0"/>
          <w:marTop w:val="67"/>
          <w:marBottom w:val="0"/>
          <w:divBdr>
            <w:top w:val="none" w:sz="0" w:space="0" w:color="auto"/>
            <w:left w:val="none" w:sz="0" w:space="0" w:color="auto"/>
            <w:bottom w:val="none" w:sz="0" w:space="0" w:color="auto"/>
            <w:right w:val="none" w:sz="0" w:space="0" w:color="auto"/>
          </w:divBdr>
        </w:div>
        <w:div w:id="216478630">
          <w:marLeft w:val="1166"/>
          <w:marRight w:val="0"/>
          <w:marTop w:val="67"/>
          <w:marBottom w:val="0"/>
          <w:divBdr>
            <w:top w:val="none" w:sz="0" w:space="0" w:color="auto"/>
            <w:left w:val="none" w:sz="0" w:space="0" w:color="auto"/>
            <w:bottom w:val="none" w:sz="0" w:space="0" w:color="auto"/>
            <w:right w:val="none" w:sz="0" w:space="0" w:color="auto"/>
          </w:divBdr>
        </w:div>
        <w:div w:id="161433049">
          <w:marLeft w:val="1166"/>
          <w:marRight w:val="0"/>
          <w:marTop w:val="67"/>
          <w:marBottom w:val="0"/>
          <w:divBdr>
            <w:top w:val="none" w:sz="0" w:space="0" w:color="auto"/>
            <w:left w:val="none" w:sz="0" w:space="0" w:color="auto"/>
            <w:bottom w:val="none" w:sz="0" w:space="0" w:color="auto"/>
            <w:right w:val="none" w:sz="0" w:space="0" w:color="auto"/>
          </w:divBdr>
        </w:div>
        <w:div w:id="973146150">
          <w:marLeft w:val="1166"/>
          <w:marRight w:val="0"/>
          <w:marTop w:val="67"/>
          <w:marBottom w:val="0"/>
          <w:divBdr>
            <w:top w:val="none" w:sz="0" w:space="0" w:color="auto"/>
            <w:left w:val="none" w:sz="0" w:space="0" w:color="auto"/>
            <w:bottom w:val="none" w:sz="0" w:space="0" w:color="auto"/>
            <w:right w:val="none" w:sz="0" w:space="0" w:color="auto"/>
          </w:divBdr>
        </w:div>
        <w:div w:id="1265268252">
          <w:marLeft w:val="547"/>
          <w:marRight w:val="0"/>
          <w:marTop w:val="67"/>
          <w:marBottom w:val="0"/>
          <w:divBdr>
            <w:top w:val="none" w:sz="0" w:space="0" w:color="auto"/>
            <w:left w:val="none" w:sz="0" w:space="0" w:color="auto"/>
            <w:bottom w:val="none" w:sz="0" w:space="0" w:color="auto"/>
            <w:right w:val="none" w:sz="0" w:space="0" w:color="auto"/>
          </w:divBdr>
        </w:div>
        <w:div w:id="1491949291">
          <w:marLeft w:val="547"/>
          <w:marRight w:val="0"/>
          <w:marTop w:val="67"/>
          <w:marBottom w:val="0"/>
          <w:divBdr>
            <w:top w:val="none" w:sz="0" w:space="0" w:color="auto"/>
            <w:left w:val="none" w:sz="0" w:space="0" w:color="auto"/>
            <w:bottom w:val="none" w:sz="0" w:space="0" w:color="auto"/>
            <w:right w:val="none" w:sz="0" w:space="0" w:color="auto"/>
          </w:divBdr>
        </w:div>
        <w:div w:id="1109930392">
          <w:marLeft w:val="1166"/>
          <w:marRight w:val="0"/>
          <w:marTop w:val="67"/>
          <w:marBottom w:val="0"/>
          <w:divBdr>
            <w:top w:val="none" w:sz="0" w:space="0" w:color="auto"/>
            <w:left w:val="none" w:sz="0" w:space="0" w:color="auto"/>
            <w:bottom w:val="none" w:sz="0" w:space="0" w:color="auto"/>
            <w:right w:val="none" w:sz="0" w:space="0" w:color="auto"/>
          </w:divBdr>
        </w:div>
        <w:div w:id="2024819401">
          <w:marLeft w:val="1166"/>
          <w:marRight w:val="0"/>
          <w:marTop w:val="67"/>
          <w:marBottom w:val="0"/>
          <w:divBdr>
            <w:top w:val="none" w:sz="0" w:space="0" w:color="auto"/>
            <w:left w:val="none" w:sz="0" w:space="0" w:color="auto"/>
            <w:bottom w:val="none" w:sz="0" w:space="0" w:color="auto"/>
            <w:right w:val="none" w:sz="0" w:space="0" w:color="auto"/>
          </w:divBdr>
        </w:div>
      </w:divsChild>
    </w:div>
    <w:div w:id="355694784">
      <w:bodyDiv w:val="1"/>
      <w:marLeft w:val="0"/>
      <w:marRight w:val="0"/>
      <w:marTop w:val="0"/>
      <w:marBottom w:val="0"/>
      <w:divBdr>
        <w:top w:val="none" w:sz="0" w:space="0" w:color="auto"/>
        <w:left w:val="none" w:sz="0" w:space="0" w:color="auto"/>
        <w:bottom w:val="none" w:sz="0" w:space="0" w:color="auto"/>
        <w:right w:val="none" w:sz="0" w:space="0" w:color="auto"/>
      </w:divBdr>
    </w:div>
    <w:div w:id="356975072">
      <w:bodyDiv w:val="1"/>
      <w:marLeft w:val="0"/>
      <w:marRight w:val="0"/>
      <w:marTop w:val="0"/>
      <w:marBottom w:val="0"/>
      <w:divBdr>
        <w:top w:val="none" w:sz="0" w:space="0" w:color="auto"/>
        <w:left w:val="none" w:sz="0" w:space="0" w:color="auto"/>
        <w:bottom w:val="none" w:sz="0" w:space="0" w:color="auto"/>
        <w:right w:val="none" w:sz="0" w:space="0" w:color="auto"/>
      </w:divBdr>
      <w:divsChild>
        <w:div w:id="1337538149">
          <w:marLeft w:val="547"/>
          <w:marRight w:val="0"/>
          <w:marTop w:val="96"/>
          <w:marBottom w:val="0"/>
          <w:divBdr>
            <w:top w:val="none" w:sz="0" w:space="0" w:color="auto"/>
            <w:left w:val="none" w:sz="0" w:space="0" w:color="auto"/>
            <w:bottom w:val="none" w:sz="0" w:space="0" w:color="auto"/>
            <w:right w:val="none" w:sz="0" w:space="0" w:color="auto"/>
          </w:divBdr>
        </w:div>
        <w:div w:id="1197155964">
          <w:marLeft w:val="547"/>
          <w:marRight w:val="0"/>
          <w:marTop w:val="96"/>
          <w:marBottom w:val="0"/>
          <w:divBdr>
            <w:top w:val="none" w:sz="0" w:space="0" w:color="auto"/>
            <w:left w:val="none" w:sz="0" w:space="0" w:color="auto"/>
            <w:bottom w:val="none" w:sz="0" w:space="0" w:color="auto"/>
            <w:right w:val="none" w:sz="0" w:space="0" w:color="auto"/>
          </w:divBdr>
        </w:div>
        <w:div w:id="1283850582">
          <w:marLeft w:val="547"/>
          <w:marRight w:val="0"/>
          <w:marTop w:val="96"/>
          <w:marBottom w:val="0"/>
          <w:divBdr>
            <w:top w:val="none" w:sz="0" w:space="0" w:color="auto"/>
            <w:left w:val="none" w:sz="0" w:space="0" w:color="auto"/>
            <w:bottom w:val="none" w:sz="0" w:space="0" w:color="auto"/>
            <w:right w:val="none" w:sz="0" w:space="0" w:color="auto"/>
          </w:divBdr>
        </w:div>
        <w:div w:id="2043944202">
          <w:marLeft w:val="547"/>
          <w:marRight w:val="0"/>
          <w:marTop w:val="96"/>
          <w:marBottom w:val="0"/>
          <w:divBdr>
            <w:top w:val="none" w:sz="0" w:space="0" w:color="auto"/>
            <w:left w:val="none" w:sz="0" w:space="0" w:color="auto"/>
            <w:bottom w:val="none" w:sz="0" w:space="0" w:color="auto"/>
            <w:right w:val="none" w:sz="0" w:space="0" w:color="auto"/>
          </w:divBdr>
        </w:div>
      </w:divsChild>
    </w:div>
    <w:div w:id="371393369">
      <w:bodyDiv w:val="1"/>
      <w:marLeft w:val="0"/>
      <w:marRight w:val="0"/>
      <w:marTop w:val="0"/>
      <w:marBottom w:val="0"/>
      <w:divBdr>
        <w:top w:val="none" w:sz="0" w:space="0" w:color="auto"/>
        <w:left w:val="none" w:sz="0" w:space="0" w:color="auto"/>
        <w:bottom w:val="none" w:sz="0" w:space="0" w:color="auto"/>
        <w:right w:val="none" w:sz="0" w:space="0" w:color="auto"/>
      </w:divBdr>
      <w:divsChild>
        <w:div w:id="1072122083">
          <w:marLeft w:val="547"/>
          <w:marRight w:val="0"/>
          <w:marTop w:val="96"/>
          <w:marBottom w:val="0"/>
          <w:divBdr>
            <w:top w:val="none" w:sz="0" w:space="0" w:color="auto"/>
            <w:left w:val="none" w:sz="0" w:space="0" w:color="auto"/>
            <w:bottom w:val="none" w:sz="0" w:space="0" w:color="auto"/>
            <w:right w:val="none" w:sz="0" w:space="0" w:color="auto"/>
          </w:divBdr>
        </w:div>
        <w:div w:id="31270754">
          <w:marLeft w:val="1166"/>
          <w:marRight w:val="0"/>
          <w:marTop w:val="77"/>
          <w:marBottom w:val="0"/>
          <w:divBdr>
            <w:top w:val="none" w:sz="0" w:space="0" w:color="auto"/>
            <w:left w:val="none" w:sz="0" w:space="0" w:color="auto"/>
            <w:bottom w:val="none" w:sz="0" w:space="0" w:color="auto"/>
            <w:right w:val="none" w:sz="0" w:space="0" w:color="auto"/>
          </w:divBdr>
        </w:div>
        <w:div w:id="371539820">
          <w:marLeft w:val="547"/>
          <w:marRight w:val="0"/>
          <w:marTop w:val="96"/>
          <w:marBottom w:val="0"/>
          <w:divBdr>
            <w:top w:val="none" w:sz="0" w:space="0" w:color="auto"/>
            <w:left w:val="none" w:sz="0" w:space="0" w:color="auto"/>
            <w:bottom w:val="none" w:sz="0" w:space="0" w:color="auto"/>
            <w:right w:val="none" w:sz="0" w:space="0" w:color="auto"/>
          </w:divBdr>
        </w:div>
        <w:div w:id="1182932490">
          <w:marLeft w:val="547"/>
          <w:marRight w:val="0"/>
          <w:marTop w:val="96"/>
          <w:marBottom w:val="0"/>
          <w:divBdr>
            <w:top w:val="none" w:sz="0" w:space="0" w:color="auto"/>
            <w:left w:val="none" w:sz="0" w:space="0" w:color="auto"/>
            <w:bottom w:val="none" w:sz="0" w:space="0" w:color="auto"/>
            <w:right w:val="none" w:sz="0" w:space="0" w:color="auto"/>
          </w:divBdr>
        </w:div>
        <w:div w:id="1165248643">
          <w:marLeft w:val="547"/>
          <w:marRight w:val="0"/>
          <w:marTop w:val="96"/>
          <w:marBottom w:val="0"/>
          <w:divBdr>
            <w:top w:val="none" w:sz="0" w:space="0" w:color="auto"/>
            <w:left w:val="none" w:sz="0" w:space="0" w:color="auto"/>
            <w:bottom w:val="none" w:sz="0" w:space="0" w:color="auto"/>
            <w:right w:val="none" w:sz="0" w:space="0" w:color="auto"/>
          </w:divBdr>
        </w:div>
        <w:div w:id="37516794">
          <w:marLeft w:val="1166"/>
          <w:marRight w:val="0"/>
          <w:marTop w:val="77"/>
          <w:marBottom w:val="0"/>
          <w:divBdr>
            <w:top w:val="none" w:sz="0" w:space="0" w:color="auto"/>
            <w:left w:val="none" w:sz="0" w:space="0" w:color="auto"/>
            <w:bottom w:val="none" w:sz="0" w:space="0" w:color="auto"/>
            <w:right w:val="none" w:sz="0" w:space="0" w:color="auto"/>
          </w:divBdr>
        </w:div>
        <w:div w:id="2072458548">
          <w:marLeft w:val="1166"/>
          <w:marRight w:val="0"/>
          <w:marTop w:val="77"/>
          <w:marBottom w:val="0"/>
          <w:divBdr>
            <w:top w:val="none" w:sz="0" w:space="0" w:color="auto"/>
            <w:left w:val="none" w:sz="0" w:space="0" w:color="auto"/>
            <w:bottom w:val="none" w:sz="0" w:space="0" w:color="auto"/>
            <w:right w:val="none" w:sz="0" w:space="0" w:color="auto"/>
          </w:divBdr>
        </w:div>
      </w:divsChild>
    </w:div>
    <w:div w:id="425347311">
      <w:bodyDiv w:val="1"/>
      <w:marLeft w:val="0"/>
      <w:marRight w:val="0"/>
      <w:marTop w:val="0"/>
      <w:marBottom w:val="0"/>
      <w:divBdr>
        <w:top w:val="none" w:sz="0" w:space="0" w:color="auto"/>
        <w:left w:val="none" w:sz="0" w:space="0" w:color="auto"/>
        <w:bottom w:val="none" w:sz="0" w:space="0" w:color="auto"/>
        <w:right w:val="none" w:sz="0" w:space="0" w:color="auto"/>
      </w:divBdr>
    </w:div>
    <w:div w:id="426734244">
      <w:bodyDiv w:val="1"/>
      <w:marLeft w:val="0"/>
      <w:marRight w:val="0"/>
      <w:marTop w:val="0"/>
      <w:marBottom w:val="0"/>
      <w:divBdr>
        <w:top w:val="none" w:sz="0" w:space="0" w:color="auto"/>
        <w:left w:val="none" w:sz="0" w:space="0" w:color="auto"/>
        <w:bottom w:val="none" w:sz="0" w:space="0" w:color="auto"/>
        <w:right w:val="none" w:sz="0" w:space="0" w:color="auto"/>
      </w:divBdr>
    </w:div>
    <w:div w:id="437220139">
      <w:bodyDiv w:val="1"/>
      <w:marLeft w:val="0"/>
      <w:marRight w:val="0"/>
      <w:marTop w:val="0"/>
      <w:marBottom w:val="0"/>
      <w:divBdr>
        <w:top w:val="none" w:sz="0" w:space="0" w:color="auto"/>
        <w:left w:val="none" w:sz="0" w:space="0" w:color="auto"/>
        <w:bottom w:val="none" w:sz="0" w:space="0" w:color="auto"/>
        <w:right w:val="none" w:sz="0" w:space="0" w:color="auto"/>
      </w:divBdr>
    </w:div>
    <w:div w:id="455298787">
      <w:bodyDiv w:val="1"/>
      <w:marLeft w:val="0"/>
      <w:marRight w:val="0"/>
      <w:marTop w:val="0"/>
      <w:marBottom w:val="0"/>
      <w:divBdr>
        <w:top w:val="none" w:sz="0" w:space="0" w:color="auto"/>
        <w:left w:val="none" w:sz="0" w:space="0" w:color="auto"/>
        <w:bottom w:val="none" w:sz="0" w:space="0" w:color="auto"/>
        <w:right w:val="none" w:sz="0" w:space="0" w:color="auto"/>
      </w:divBdr>
      <w:divsChild>
        <w:div w:id="234317546">
          <w:marLeft w:val="547"/>
          <w:marRight w:val="0"/>
          <w:marTop w:val="77"/>
          <w:marBottom w:val="0"/>
          <w:divBdr>
            <w:top w:val="none" w:sz="0" w:space="0" w:color="auto"/>
            <w:left w:val="none" w:sz="0" w:space="0" w:color="auto"/>
            <w:bottom w:val="none" w:sz="0" w:space="0" w:color="auto"/>
            <w:right w:val="none" w:sz="0" w:space="0" w:color="auto"/>
          </w:divBdr>
        </w:div>
        <w:div w:id="947464518">
          <w:marLeft w:val="547"/>
          <w:marRight w:val="0"/>
          <w:marTop w:val="77"/>
          <w:marBottom w:val="0"/>
          <w:divBdr>
            <w:top w:val="none" w:sz="0" w:space="0" w:color="auto"/>
            <w:left w:val="none" w:sz="0" w:space="0" w:color="auto"/>
            <w:bottom w:val="none" w:sz="0" w:space="0" w:color="auto"/>
            <w:right w:val="none" w:sz="0" w:space="0" w:color="auto"/>
          </w:divBdr>
        </w:div>
        <w:div w:id="57436324">
          <w:marLeft w:val="1166"/>
          <w:marRight w:val="0"/>
          <w:marTop w:val="58"/>
          <w:marBottom w:val="0"/>
          <w:divBdr>
            <w:top w:val="none" w:sz="0" w:space="0" w:color="auto"/>
            <w:left w:val="none" w:sz="0" w:space="0" w:color="auto"/>
            <w:bottom w:val="none" w:sz="0" w:space="0" w:color="auto"/>
            <w:right w:val="none" w:sz="0" w:space="0" w:color="auto"/>
          </w:divBdr>
        </w:div>
        <w:div w:id="1737777682">
          <w:marLeft w:val="1166"/>
          <w:marRight w:val="0"/>
          <w:marTop w:val="58"/>
          <w:marBottom w:val="0"/>
          <w:divBdr>
            <w:top w:val="none" w:sz="0" w:space="0" w:color="auto"/>
            <w:left w:val="none" w:sz="0" w:space="0" w:color="auto"/>
            <w:bottom w:val="none" w:sz="0" w:space="0" w:color="auto"/>
            <w:right w:val="none" w:sz="0" w:space="0" w:color="auto"/>
          </w:divBdr>
        </w:div>
        <w:div w:id="1300305210">
          <w:marLeft w:val="1166"/>
          <w:marRight w:val="0"/>
          <w:marTop w:val="58"/>
          <w:marBottom w:val="0"/>
          <w:divBdr>
            <w:top w:val="none" w:sz="0" w:space="0" w:color="auto"/>
            <w:left w:val="none" w:sz="0" w:space="0" w:color="auto"/>
            <w:bottom w:val="none" w:sz="0" w:space="0" w:color="auto"/>
            <w:right w:val="none" w:sz="0" w:space="0" w:color="auto"/>
          </w:divBdr>
        </w:div>
        <w:div w:id="1190098868">
          <w:marLeft w:val="547"/>
          <w:marRight w:val="0"/>
          <w:marTop w:val="77"/>
          <w:marBottom w:val="0"/>
          <w:divBdr>
            <w:top w:val="none" w:sz="0" w:space="0" w:color="auto"/>
            <w:left w:val="none" w:sz="0" w:space="0" w:color="auto"/>
            <w:bottom w:val="none" w:sz="0" w:space="0" w:color="auto"/>
            <w:right w:val="none" w:sz="0" w:space="0" w:color="auto"/>
          </w:divBdr>
        </w:div>
        <w:div w:id="1206482521">
          <w:marLeft w:val="1166"/>
          <w:marRight w:val="0"/>
          <w:marTop w:val="58"/>
          <w:marBottom w:val="0"/>
          <w:divBdr>
            <w:top w:val="none" w:sz="0" w:space="0" w:color="auto"/>
            <w:left w:val="none" w:sz="0" w:space="0" w:color="auto"/>
            <w:bottom w:val="none" w:sz="0" w:space="0" w:color="auto"/>
            <w:right w:val="none" w:sz="0" w:space="0" w:color="auto"/>
          </w:divBdr>
        </w:div>
        <w:div w:id="2140568242">
          <w:marLeft w:val="1166"/>
          <w:marRight w:val="0"/>
          <w:marTop w:val="58"/>
          <w:marBottom w:val="0"/>
          <w:divBdr>
            <w:top w:val="none" w:sz="0" w:space="0" w:color="auto"/>
            <w:left w:val="none" w:sz="0" w:space="0" w:color="auto"/>
            <w:bottom w:val="none" w:sz="0" w:space="0" w:color="auto"/>
            <w:right w:val="none" w:sz="0" w:space="0" w:color="auto"/>
          </w:divBdr>
        </w:div>
        <w:div w:id="516307717">
          <w:marLeft w:val="547"/>
          <w:marRight w:val="0"/>
          <w:marTop w:val="77"/>
          <w:marBottom w:val="0"/>
          <w:divBdr>
            <w:top w:val="none" w:sz="0" w:space="0" w:color="auto"/>
            <w:left w:val="none" w:sz="0" w:space="0" w:color="auto"/>
            <w:bottom w:val="none" w:sz="0" w:space="0" w:color="auto"/>
            <w:right w:val="none" w:sz="0" w:space="0" w:color="auto"/>
          </w:divBdr>
        </w:div>
        <w:div w:id="527833119">
          <w:marLeft w:val="1166"/>
          <w:marRight w:val="0"/>
          <w:marTop w:val="58"/>
          <w:marBottom w:val="0"/>
          <w:divBdr>
            <w:top w:val="none" w:sz="0" w:space="0" w:color="auto"/>
            <w:left w:val="none" w:sz="0" w:space="0" w:color="auto"/>
            <w:bottom w:val="none" w:sz="0" w:space="0" w:color="auto"/>
            <w:right w:val="none" w:sz="0" w:space="0" w:color="auto"/>
          </w:divBdr>
        </w:div>
        <w:div w:id="195702772">
          <w:marLeft w:val="1166"/>
          <w:marRight w:val="0"/>
          <w:marTop w:val="58"/>
          <w:marBottom w:val="0"/>
          <w:divBdr>
            <w:top w:val="none" w:sz="0" w:space="0" w:color="auto"/>
            <w:left w:val="none" w:sz="0" w:space="0" w:color="auto"/>
            <w:bottom w:val="none" w:sz="0" w:space="0" w:color="auto"/>
            <w:right w:val="none" w:sz="0" w:space="0" w:color="auto"/>
          </w:divBdr>
        </w:div>
        <w:div w:id="1796946347">
          <w:marLeft w:val="1166"/>
          <w:marRight w:val="0"/>
          <w:marTop w:val="58"/>
          <w:marBottom w:val="0"/>
          <w:divBdr>
            <w:top w:val="none" w:sz="0" w:space="0" w:color="auto"/>
            <w:left w:val="none" w:sz="0" w:space="0" w:color="auto"/>
            <w:bottom w:val="none" w:sz="0" w:space="0" w:color="auto"/>
            <w:right w:val="none" w:sz="0" w:space="0" w:color="auto"/>
          </w:divBdr>
        </w:div>
        <w:div w:id="672689650">
          <w:marLeft w:val="1166"/>
          <w:marRight w:val="0"/>
          <w:marTop w:val="58"/>
          <w:marBottom w:val="0"/>
          <w:divBdr>
            <w:top w:val="none" w:sz="0" w:space="0" w:color="auto"/>
            <w:left w:val="none" w:sz="0" w:space="0" w:color="auto"/>
            <w:bottom w:val="none" w:sz="0" w:space="0" w:color="auto"/>
            <w:right w:val="none" w:sz="0" w:space="0" w:color="auto"/>
          </w:divBdr>
        </w:div>
        <w:div w:id="1362517169">
          <w:marLeft w:val="1166"/>
          <w:marRight w:val="0"/>
          <w:marTop w:val="58"/>
          <w:marBottom w:val="0"/>
          <w:divBdr>
            <w:top w:val="none" w:sz="0" w:space="0" w:color="auto"/>
            <w:left w:val="none" w:sz="0" w:space="0" w:color="auto"/>
            <w:bottom w:val="none" w:sz="0" w:space="0" w:color="auto"/>
            <w:right w:val="none" w:sz="0" w:space="0" w:color="auto"/>
          </w:divBdr>
        </w:div>
      </w:divsChild>
    </w:div>
    <w:div w:id="494613102">
      <w:bodyDiv w:val="1"/>
      <w:marLeft w:val="0"/>
      <w:marRight w:val="0"/>
      <w:marTop w:val="0"/>
      <w:marBottom w:val="0"/>
      <w:divBdr>
        <w:top w:val="none" w:sz="0" w:space="0" w:color="auto"/>
        <w:left w:val="none" w:sz="0" w:space="0" w:color="auto"/>
        <w:bottom w:val="none" w:sz="0" w:space="0" w:color="auto"/>
        <w:right w:val="none" w:sz="0" w:space="0" w:color="auto"/>
      </w:divBdr>
    </w:div>
    <w:div w:id="523518259">
      <w:bodyDiv w:val="1"/>
      <w:marLeft w:val="0"/>
      <w:marRight w:val="0"/>
      <w:marTop w:val="0"/>
      <w:marBottom w:val="0"/>
      <w:divBdr>
        <w:top w:val="none" w:sz="0" w:space="0" w:color="auto"/>
        <w:left w:val="none" w:sz="0" w:space="0" w:color="auto"/>
        <w:bottom w:val="none" w:sz="0" w:space="0" w:color="auto"/>
        <w:right w:val="none" w:sz="0" w:space="0" w:color="auto"/>
      </w:divBdr>
    </w:div>
    <w:div w:id="526723826">
      <w:bodyDiv w:val="1"/>
      <w:marLeft w:val="0"/>
      <w:marRight w:val="0"/>
      <w:marTop w:val="0"/>
      <w:marBottom w:val="0"/>
      <w:divBdr>
        <w:top w:val="none" w:sz="0" w:space="0" w:color="auto"/>
        <w:left w:val="none" w:sz="0" w:space="0" w:color="auto"/>
        <w:bottom w:val="none" w:sz="0" w:space="0" w:color="auto"/>
        <w:right w:val="none" w:sz="0" w:space="0" w:color="auto"/>
      </w:divBdr>
    </w:div>
    <w:div w:id="549390581">
      <w:bodyDiv w:val="1"/>
      <w:marLeft w:val="0"/>
      <w:marRight w:val="0"/>
      <w:marTop w:val="0"/>
      <w:marBottom w:val="0"/>
      <w:divBdr>
        <w:top w:val="none" w:sz="0" w:space="0" w:color="auto"/>
        <w:left w:val="none" w:sz="0" w:space="0" w:color="auto"/>
        <w:bottom w:val="none" w:sz="0" w:space="0" w:color="auto"/>
        <w:right w:val="none" w:sz="0" w:space="0" w:color="auto"/>
      </w:divBdr>
    </w:div>
    <w:div w:id="564996364">
      <w:bodyDiv w:val="1"/>
      <w:marLeft w:val="0"/>
      <w:marRight w:val="0"/>
      <w:marTop w:val="0"/>
      <w:marBottom w:val="0"/>
      <w:divBdr>
        <w:top w:val="none" w:sz="0" w:space="0" w:color="auto"/>
        <w:left w:val="none" w:sz="0" w:space="0" w:color="auto"/>
        <w:bottom w:val="none" w:sz="0" w:space="0" w:color="auto"/>
        <w:right w:val="none" w:sz="0" w:space="0" w:color="auto"/>
      </w:divBdr>
    </w:div>
    <w:div w:id="567957168">
      <w:bodyDiv w:val="1"/>
      <w:marLeft w:val="0"/>
      <w:marRight w:val="0"/>
      <w:marTop w:val="0"/>
      <w:marBottom w:val="0"/>
      <w:divBdr>
        <w:top w:val="none" w:sz="0" w:space="0" w:color="auto"/>
        <w:left w:val="none" w:sz="0" w:space="0" w:color="auto"/>
        <w:bottom w:val="none" w:sz="0" w:space="0" w:color="auto"/>
        <w:right w:val="none" w:sz="0" w:space="0" w:color="auto"/>
      </w:divBdr>
    </w:div>
    <w:div w:id="590505481">
      <w:bodyDiv w:val="1"/>
      <w:marLeft w:val="0"/>
      <w:marRight w:val="0"/>
      <w:marTop w:val="0"/>
      <w:marBottom w:val="0"/>
      <w:divBdr>
        <w:top w:val="none" w:sz="0" w:space="0" w:color="auto"/>
        <w:left w:val="none" w:sz="0" w:space="0" w:color="auto"/>
        <w:bottom w:val="none" w:sz="0" w:space="0" w:color="auto"/>
        <w:right w:val="none" w:sz="0" w:space="0" w:color="auto"/>
      </w:divBdr>
    </w:div>
    <w:div w:id="619412338">
      <w:bodyDiv w:val="1"/>
      <w:marLeft w:val="0"/>
      <w:marRight w:val="0"/>
      <w:marTop w:val="0"/>
      <w:marBottom w:val="0"/>
      <w:divBdr>
        <w:top w:val="none" w:sz="0" w:space="0" w:color="auto"/>
        <w:left w:val="none" w:sz="0" w:space="0" w:color="auto"/>
        <w:bottom w:val="none" w:sz="0" w:space="0" w:color="auto"/>
        <w:right w:val="none" w:sz="0" w:space="0" w:color="auto"/>
      </w:divBdr>
    </w:div>
    <w:div w:id="636304007">
      <w:bodyDiv w:val="1"/>
      <w:marLeft w:val="0"/>
      <w:marRight w:val="0"/>
      <w:marTop w:val="0"/>
      <w:marBottom w:val="0"/>
      <w:divBdr>
        <w:top w:val="none" w:sz="0" w:space="0" w:color="auto"/>
        <w:left w:val="none" w:sz="0" w:space="0" w:color="auto"/>
        <w:bottom w:val="none" w:sz="0" w:space="0" w:color="auto"/>
        <w:right w:val="none" w:sz="0" w:space="0" w:color="auto"/>
      </w:divBdr>
    </w:div>
    <w:div w:id="636498993">
      <w:bodyDiv w:val="1"/>
      <w:marLeft w:val="0"/>
      <w:marRight w:val="0"/>
      <w:marTop w:val="0"/>
      <w:marBottom w:val="0"/>
      <w:divBdr>
        <w:top w:val="none" w:sz="0" w:space="0" w:color="auto"/>
        <w:left w:val="none" w:sz="0" w:space="0" w:color="auto"/>
        <w:bottom w:val="none" w:sz="0" w:space="0" w:color="auto"/>
        <w:right w:val="none" w:sz="0" w:space="0" w:color="auto"/>
      </w:divBdr>
    </w:div>
    <w:div w:id="653264295">
      <w:bodyDiv w:val="1"/>
      <w:marLeft w:val="0"/>
      <w:marRight w:val="0"/>
      <w:marTop w:val="0"/>
      <w:marBottom w:val="0"/>
      <w:divBdr>
        <w:top w:val="none" w:sz="0" w:space="0" w:color="auto"/>
        <w:left w:val="none" w:sz="0" w:space="0" w:color="auto"/>
        <w:bottom w:val="none" w:sz="0" w:space="0" w:color="auto"/>
        <w:right w:val="none" w:sz="0" w:space="0" w:color="auto"/>
      </w:divBdr>
      <w:divsChild>
        <w:div w:id="41053072">
          <w:marLeft w:val="547"/>
          <w:marRight w:val="0"/>
          <w:marTop w:val="96"/>
          <w:marBottom w:val="0"/>
          <w:divBdr>
            <w:top w:val="none" w:sz="0" w:space="0" w:color="auto"/>
            <w:left w:val="none" w:sz="0" w:space="0" w:color="auto"/>
            <w:bottom w:val="none" w:sz="0" w:space="0" w:color="auto"/>
            <w:right w:val="none" w:sz="0" w:space="0" w:color="auto"/>
          </w:divBdr>
        </w:div>
        <w:div w:id="1824002153">
          <w:marLeft w:val="1166"/>
          <w:marRight w:val="0"/>
          <w:marTop w:val="77"/>
          <w:marBottom w:val="0"/>
          <w:divBdr>
            <w:top w:val="none" w:sz="0" w:space="0" w:color="auto"/>
            <w:left w:val="none" w:sz="0" w:space="0" w:color="auto"/>
            <w:bottom w:val="none" w:sz="0" w:space="0" w:color="auto"/>
            <w:right w:val="none" w:sz="0" w:space="0" w:color="auto"/>
          </w:divBdr>
        </w:div>
        <w:div w:id="1301154343">
          <w:marLeft w:val="547"/>
          <w:marRight w:val="0"/>
          <w:marTop w:val="96"/>
          <w:marBottom w:val="0"/>
          <w:divBdr>
            <w:top w:val="none" w:sz="0" w:space="0" w:color="auto"/>
            <w:left w:val="none" w:sz="0" w:space="0" w:color="auto"/>
            <w:bottom w:val="none" w:sz="0" w:space="0" w:color="auto"/>
            <w:right w:val="none" w:sz="0" w:space="0" w:color="auto"/>
          </w:divBdr>
        </w:div>
        <w:div w:id="1163933416">
          <w:marLeft w:val="1166"/>
          <w:marRight w:val="0"/>
          <w:marTop w:val="77"/>
          <w:marBottom w:val="0"/>
          <w:divBdr>
            <w:top w:val="none" w:sz="0" w:space="0" w:color="auto"/>
            <w:left w:val="none" w:sz="0" w:space="0" w:color="auto"/>
            <w:bottom w:val="none" w:sz="0" w:space="0" w:color="auto"/>
            <w:right w:val="none" w:sz="0" w:space="0" w:color="auto"/>
          </w:divBdr>
        </w:div>
        <w:div w:id="1657340697">
          <w:marLeft w:val="547"/>
          <w:marRight w:val="0"/>
          <w:marTop w:val="96"/>
          <w:marBottom w:val="0"/>
          <w:divBdr>
            <w:top w:val="none" w:sz="0" w:space="0" w:color="auto"/>
            <w:left w:val="none" w:sz="0" w:space="0" w:color="auto"/>
            <w:bottom w:val="none" w:sz="0" w:space="0" w:color="auto"/>
            <w:right w:val="none" w:sz="0" w:space="0" w:color="auto"/>
          </w:divBdr>
        </w:div>
        <w:div w:id="2102142823">
          <w:marLeft w:val="1166"/>
          <w:marRight w:val="0"/>
          <w:marTop w:val="77"/>
          <w:marBottom w:val="0"/>
          <w:divBdr>
            <w:top w:val="none" w:sz="0" w:space="0" w:color="auto"/>
            <w:left w:val="none" w:sz="0" w:space="0" w:color="auto"/>
            <w:bottom w:val="none" w:sz="0" w:space="0" w:color="auto"/>
            <w:right w:val="none" w:sz="0" w:space="0" w:color="auto"/>
          </w:divBdr>
        </w:div>
      </w:divsChild>
    </w:div>
    <w:div w:id="675421684">
      <w:bodyDiv w:val="1"/>
      <w:marLeft w:val="0"/>
      <w:marRight w:val="0"/>
      <w:marTop w:val="0"/>
      <w:marBottom w:val="0"/>
      <w:divBdr>
        <w:top w:val="none" w:sz="0" w:space="0" w:color="auto"/>
        <w:left w:val="none" w:sz="0" w:space="0" w:color="auto"/>
        <w:bottom w:val="none" w:sz="0" w:space="0" w:color="auto"/>
        <w:right w:val="none" w:sz="0" w:space="0" w:color="auto"/>
      </w:divBdr>
    </w:div>
    <w:div w:id="679164855">
      <w:bodyDiv w:val="1"/>
      <w:marLeft w:val="0"/>
      <w:marRight w:val="0"/>
      <w:marTop w:val="0"/>
      <w:marBottom w:val="0"/>
      <w:divBdr>
        <w:top w:val="none" w:sz="0" w:space="0" w:color="auto"/>
        <w:left w:val="none" w:sz="0" w:space="0" w:color="auto"/>
        <w:bottom w:val="none" w:sz="0" w:space="0" w:color="auto"/>
        <w:right w:val="none" w:sz="0" w:space="0" w:color="auto"/>
      </w:divBdr>
    </w:div>
    <w:div w:id="683290863">
      <w:bodyDiv w:val="1"/>
      <w:marLeft w:val="0"/>
      <w:marRight w:val="0"/>
      <w:marTop w:val="0"/>
      <w:marBottom w:val="0"/>
      <w:divBdr>
        <w:top w:val="none" w:sz="0" w:space="0" w:color="auto"/>
        <w:left w:val="none" w:sz="0" w:space="0" w:color="auto"/>
        <w:bottom w:val="none" w:sz="0" w:space="0" w:color="auto"/>
        <w:right w:val="none" w:sz="0" w:space="0" w:color="auto"/>
      </w:divBdr>
      <w:divsChild>
        <w:div w:id="1207008">
          <w:marLeft w:val="317"/>
          <w:marRight w:val="0"/>
          <w:marTop w:val="45"/>
          <w:marBottom w:val="90"/>
          <w:divBdr>
            <w:top w:val="none" w:sz="0" w:space="0" w:color="auto"/>
            <w:left w:val="none" w:sz="0" w:space="0" w:color="auto"/>
            <w:bottom w:val="none" w:sz="0" w:space="0" w:color="auto"/>
            <w:right w:val="none" w:sz="0" w:space="0" w:color="auto"/>
          </w:divBdr>
        </w:div>
      </w:divsChild>
    </w:div>
    <w:div w:id="683673179">
      <w:bodyDiv w:val="1"/>
      <w:marLeft w:val="0"/>
      <w:marRight w:val="0"/>
      <w:marTop w:val="0"/>
      <w:marBottom w:val="0"/>
      <w:divBdr>
        <w:top w:val="none" w:sz="0" w:space="0" w:color="auto"/>
        <w:left w:val="none" w:sz="0" w:space="0" w:color="auto"/>
        <w:bottom w:val="none" w:sz="0" w:space="0" w:color="auto"/>
        <w:right w:val="none" w:sz="0" w:space="0" w:color="auto"/>
      </w:divBdr>
    </w:div>
    <w:div w:id="717440892">
      <w:bodyDiv w:val="1"/>
      <w:marLeft w:val="0"/>
      <w:marRight w:val="0"/>
      <w:marTop w:val="0"/>
      <w:marBottom w:val="0"/>
      <w:divBdr>
        <w:top w:val="none" w:sz="0" w:space="0" w:color="auto"/>
        <w:left w:val="none" w:sz="0" w:space="0" w:color="auto"/>
        <w:bottom w:val="none" w:sz="0" w:space="0" w:color="auto"/>
        <w:right w:val="none" w:sz="0" w:space="0" w:color="auto"/>
      </w:divBdr>
    </w:div>
    <w:div w:id="734160149">
      <w:bodyDiv w:val="1"/>
      <w:marLeft w:val="0"/>
      <w:marRight w:val="0"/>
      <w:marTop w:val="0"/>
      <w:marBottom w:val="0"/>
      <w:divBdr>
        <w:top w:val="none" w:sz="0" w:space="0" w:color="auto"/>
        <w:left w:val="none" w:sz="0" w:space="0" w:color="auto"/>
        <w:bottom w:val="none" w:sz="0" w:space="0" w:color="auto"/>
        <w:right w:val="none" w:sz="0" w:space="0" w:color="auto"/>
      </w:divBdr>
    </w:div>
    <w:div w:id="735519135">
      <w:bodyDiv w:val="1"/>
      <w:marLeft w:val="0"/>
      <w:marRight w:val="0"/>
      <w:marTop w:val="0"/>
      <w:marBottom w:val="0"/>
      <w:divBdr>
        <w:top w:val="none" w:sz="0" w:space="0" w:color="auto"/>
        <w:left w:val="none" w:sz="0" w:space="0" w:color="auto"/>
        <w:bottom w:val="none" w:sz="0" w:space="0" w:color="auto"/>
        <w:right w:val="none" w:sz="0" w:space="0" w:color="auto"/>
      </w:divBdr>
    </w:div>
    <w:div w:id="735708898">
      <w:bodyDiv w:val="1"/>
      <w:marLeft w:val="0"/>
      <w:marRight w:val="0"/>
      <w:marTop w:val="0"/>
      <w:marBottom w:val="0"/>
      <w:divBdr>
        <w:top w:val="none" w:sz="0" w:space="0" w:color="auto"/>
        <w:left w:val="none" w:sz="0" w:space="0" w:color="auto"/>
        <w:bottom w:val="none" w:sz="0" w:space="0" w:color="auto"/>
        <w:right w:val="none" w:sz="0" w:space="0" w:color="auto"/>
      </w:divBdr>
      <w:divsChild>
        <w:div w:id="197858046">
          <w:marLeft w:val="317"/>
          <w:marRight w:val="0"/>
          <w:marTop w:val="45"/>
          <w:marBottom w:val="90"/>
          <w:divBdr>
            <w:top w:val="none" w:sz="0" w:space="0" w:color="auto"/>
            <w:left w:val="none" w:sz="0" w:space="0" w:color="auto"/>
            <w:bottom w:val="none" w:sz="0" w:space="0" w:color="auto"/>
            <w:right w:val="none" w:sz="0" w:space="0" w:color="auto"/>
          </w:divBdr>
        </w:div>
      </w:divsChild>
    </w:div>
    <w:div w:id="740325035">
      <w:bodyDiv w:val="1"/>
      <w:marLeft w:val="0"/>
      <w:marRight w:val="0"/>
      <w:marTop w:val="0"/>
      <w:marBottom w:val="0"/>
      <w:divBdr>
        <w:top w:val="none" w:sz="0" w:space="0" w:color="auto"/>
        <w:left w:val="none" w:sz="0" w:space="0" w:color="auto"/>
        <w:bottom w:val="none" w:sz="0" w:space="0" w:color="auto"/>
        <w:right w:val="none" w:sz="0" w:space="0" w:color="auto"/>
      </w:divBdr>
    </w:div>
    <w:div w:id="761682476">
      <w:bodyDiv w:val="1"/>
      <w:marLeft w:val="0"/>
      <w:marRight w:val="0"/>
      <w:marTop w:val="0"/>
      <w:marBottom w:val="0"/>
      <w:divBdr>
        <w:top w:val="none" w:sz="0" w:space="0" w:color="auto"/>
        <w:left w:val="none" w:sz="0" w:space="0" w:color="auto"/>
        <w:bottom w:val="none" w:sz="0" w:space="0" w:color="auto"/>
        <w:right w:val="none" w:sz="0" w:space="0" w:color="auto"/>
      </w:divBdr>
    </w:div>
    <w:div w:id="772818929">
      <w:bodyDiv w:val="1"/>
      <w:marLeft w:val="0"/>
      <w:marRight w:val="0"/>
      <w:marTop w:val="0"/>
      <w:marBottom w:val="0"/>
      <w:divBdr>
        <w:top w:val="none" w:sz="0" w:space="0" w:color="auto"/>
        <w:left w:val="none" w:sz="0" w:space="0" w:color="auto"/>
        <w:bottom w:val="none" w:sz="0" w:space="0" w:color="auto"/>
        <w:right w:val="none" w:sz="0" w:space="0" w:color="auto"/>
      </w:divBdr>
    </w:div>
    <w:div w:id="788402631">
      <w:bodyDiv w:val="1"/>
      <w:marLeft w:val="0"/>
      <w:marRight w:val="0"/>
      <w:marTop w:val="0"/>
      <w:marBottom w:val="0"/>
      <w:divBdr>
        <w:top w:val="none" w:sz="0" w:space="0" w:color="auto"/>
        <w:left w:val="none" w:sz="0" w:space="0" w:color="auto"/>
        <w:bottom w:val="none" w:sz="0" w:space="0" w:color="auto"/>
        <w:right w:val="none" w:sz="0" w:space="0" w:color="auto"/>
      </w:divBdr>
    </w:div>
    <w:div w:id="789204771">
      <w:bodyDiv w:val="1"/>
      <w:marLeft w:val="0"/>
      <w:marRight w:val="0"/>
      <w:marTop w:val="0"/>
      <w:marBottom w:val="0"/>
      <w:divBdr>
        <w:top w:val="none" w:sz="0" w:space="0" w:color="auto"/>
        <w:left w:val="none" w:sz="0" w:space="0" w:color="auto"/>
        <w:bottom w:val="none" w:sz="0" w:space="0" w:color="auto"/>
        <w:right w:val="none" w:sz="0" w:space="0" w:color="auto"/>
      </w:divBdr>
    </w:div>
    <w:div w:id="834564913">
      <w:bodyDiv w:val="1"/>
      <w:marLeft w:val="0"/>
      <w:marRight w:val="0"/>
      <w:marTop w:val="0"/>
      <w:marBottom w:val="0"/>
      <w:divBdr>
        <w:top w:val="none" w:sz="0" w:space="0" w:color="auto"/>
        <w:left w:val="none" w:sz="0" w:space="0" w:color="auto"/>
        <w:bottom w:val="none" w:sz="0" w:space="0" w:color="auto"/>
        <w:right w:val="none" w:sz="0" w:space="0" w:color="auto"/>
      </w:divBdr>
    </w:div>
    <w:div w:id="876433519">
      <w:bodyDiv w:val="1"/>
      <w:marLeft w:val="0"/>
      <w:marRight w:val="0"/>
      <w:marTop w:val="0"/>
      <w:marBottom w:val="0"/>
      <w:divBdr>
        <w:top w:val="none" w:sz="0" w:space="0" w:color="auto"/>
        <w:left w:val="none" w:sz="0" w:space="0" w:color="auto"/>
        <w:bottom w:val="none" w:sz="0" w:space="0" w:color="auto"/>
        <w:right w:val="none" w:sz="0" w:space="0" w:color="auto"/>
      </w:divBdr>
    </w:div>
    <w:div w:id="969627109">
      <w:bodyDiv w:val="1"/>
      <w:marLeft w:val="0"/>
      <w:marRight w:val="0"/>
      <w:marTop w:val="0"/>
      <w:marBottom w:val="0"/>
      <w:divBdr>
        <w:top w:val="none" w:sz="0" w:space="0" w:color="auto"/>
        <w:left w:val="none" w:sz="0" w:space="0" w:color="auto"/>
        <w:bottom w:val="none" w:sz="0" w:space="0" w:color="auto"/>
        <w:right w:val="none" w:sz="0" w:space="0" w:color="auto"/>
      </w:divBdr>
    </w:div>
    <w:div w:id="971865264">
      <w:bodyDiv w:val="1"/>
      <w:marLeft w:val="0"/>
      <w:marRight w:val="0"/>
      <w:marTop w:val="0"/>
      <w:marBottom w:val="0"/>
      <w:divBdr>
        <w:top w:val="none" w:sz="0" w:space="0" w:color="auto"/>
        <w:left w:val="none" w:sz="0" w:space="0" w:color="auto"/>
        <w:bottom w:val="none" w:sz="0" w:space="0" w:color="auto"/>
        <w:right w:val="none" w:sz="0" w:space="0" w:color="auto"/>
      </w:divBdr>
      <w:divsChild>
        <w:div w:id="245572840">
          <w:marLeft w:val="547"/>
          <w:marRight w:val="0"/>
          <w:marTop w:val="96"/>
          <w:marBottom w:val="0"/>
          <w:divBdr>
            <w:top w:val="none" w:sz="0" w:space="0" w:color="auto"/>
            <w:left w:val="none" w:sz="0" w:space="0" w:color="auto"/>
            <w:bottom w:val="none" w:sz="0" w:space="0" w:color="auto"/>
            <w:right w:val="none" w:sz="0" w:space="0" w:color="auto"/>
          </w:divBdr>
        </w:div>
        <w:div w:id="2050563718">
          <w:marLeft w:val="547"/>
          <w:marRight w:val="0"/>
          <w:marTop w:val="96"/>
          <w:marBottom w:val="0"/>
          <w:divBdr>
            <w:top w:val="none" w:sz="0" w:space="0" w:color="auto"/>
            <w:left w:val="none" w:sz="0" w:space="0" w:color="auto"/>
            <w:bottom w:val="none" w:sz="0" w:space="0" w:color="auto"/>
            <w:right w:val="none" w:sz="0" w:space="0" w:color="auto"/>
          </w:divBdr>
        </w:div>
        <w:div w:id="742070850">
          <w:marLeft w:val="547"/>
          <w:marRight w:val="0"/>
          <w:marTop w:val="96"/>
          <w:marBottom w:val="0"/>
          <w:divBdr>
            <w:top w:val="none" w:sz="0" w:space="0" w:color="auto"/>
            <w:left w:val="none" w:sz="0" w:space="0" w:color="auto"/>
            <w:bottom w:val="none" w:sz="0" w:space="0" w:color="auto"/>
            <w:right w:val="none" w:sz="0" w:space="0" w:color="auto"/>
          </w:divBdr>
        </w:div>
        <w:div w:id="832718388">
          <w:marLeft w:val="547"/>
          <w:marRight w:val="0"/>
          <w:marTop w:val="96"/>
          <w:marBottom w:val="0"/>
          <w:divBdr>
            <w:top w:val="none" w:sz="0" w:space="0" w:color="auto"/>
            <w:left w:val="none" w:sz="0" w:space="0" w:color="auto"/>
            <w:bottom w:val="none" w:sz="0" w:space="0" w:color="auto"/>
            <w:right w:val="none" w:sz="0" w:space="0" w:color="auto"/>
          </w:divBdr>
        </w:div>
        <w:div w:id="353725122">
          <w:marLeft w:val="547"/>
          <w:marRight w:val="0"/>
          <w:marTop w:val="96"/>
          <w:marBottom w:val="0"/>
          <w:divBdr>
            <w:top w:val="none" w:sz="0" w:space="0" w:color="auto"/>
            <w:left w:val="none" w:sz="0" w:space="0" w:color="auto"/>
            <w:bottom w:val="none" w:sz="0" w:space="0" w:color="auto"/>
            <w:right w:val="none" w:sz="0" w:space="0" w:color="auto"/>
          </w:divBdr>
        </w:div>
      </w:divsChild>
    </w:div>
    <w:div w:id="974025339">
      <w:bodyDiv w:val="1"/>
      <w:marLeft w:val="0"/>
      <w:marRight w:val="0"/>
      <w:marTop w:val="0"/>
      <w:marBottom w:val="0"/>
      <w:divBdr>
        <w:top w:val="none" w:sz="0" w:space="0" w:color="auto"/>
        <w:left w:val="none" w:sz="0" w:space="0" w:color="auto"/>
        <w:bottom w:val="none" w:sz="0" w:space="0" w:color="auto"/>
        <w:right w:val="none" w:sz="0" w:space="0" w:color="auto"/>
      </w:divBdr>
    </w:div>
    <w:div w:id="1043293185">
      <w:bodyDiv w:val="1"/>
      <w:marLeft w:val="0"/>
      <w:marRight w:val="0"/>
      <w:marTop w:val="0"/>
      <w:marBottom w:val="0"/>
      <w:divBdr>
        <w:top w:val="none" w:sz="0" w:space="0" w:color="auto"/>
        <w:left w:val="none" w:sz="0" w:space="0" w:color="auto"/>
        <w:bottom w:val="none" w:sz="0" w:space="0" w:color="auto"/>
        <w:right w:val="none" w:sz="0" w:space="0" w:color="auto"/>
      </w:divBdr>
    </w:div>
    <w:div w:id="1074157747">
      <w:bodyDiv w:val="1"/>
      <w:marLeft w:val="0"/>
      <w:marRight w:val="0"/>
      <w:marTop w:val="0"/>
      <w:marBottom w:val="0"/>
      <w:divBdr>
        <w:top w:val="none" w:sz="0" w:space="0" w:color="auto"/>
        <w:left w:val="none" w:sz="0" w:space="0" w:color="auto"/>
        <w:bottom w:val="none" w:sz="0" w:space="0" w:color="auto"/>
        <w:right w:val="none" w:sz="0" w:space="0" w:color="auto"/>
      </w:divBdr>
      <w:divsChild>
        <w:div w:id="1638298019">
          <w:marLeft w:val="547"/>
          <w:marRight w:val="0"/>
          <w:marTop w:val="96"/>
          <w:marBottom w:val="0"/>
          <w:divBdr>
            <w:top w:val="none" w:sz="0" w:space="0" w:color="auto"/>
            <w:left w:val="none" w:sz="0" w:space="0" w:color="auto"/>
            <w:bottom w:val="none" w:sz="0" w:space="0" w:color="auto"/>
            <w:right w:val="none" w:sz="0" w:space="0" w:color="auto"/>
          </w:divBdr>
        </w:div>
        <w:div w:id="180555750">
          <w:marLeft w:val="1166"/>
          <w:marRight w:val="0"/>
          <w:marTop w:val="77"/>
          <w:marBottom w:val="0"/>
          <w:divBdr>
            <w:top w:val="none" w:sz="0" w:space="0" w:color="auto"/>
            <w:left w:val="none" w:sz="0" w:space="0" w:color="auto"/>
            <w:bottom w:val="none" w:sz="0" w:space="0" w:color="auto"/>
            <w:right w:val="none" w:sz="0" w:space="0" w:color="auto"/>
          </w:divBdr>
        </w:div>
        <w:div w:id="1989698919">
          <w:marLeft w:val="547"/>
          <w:marRight w:val="0"/>
          <w:marTop w:val="96"/>
          <w:marBottom w:val="0"/>
          <w:divBdr>
            <w:top w:val="none" w:sz="0" w:space="0" w:color="auto"/>
            <w:left w:val="none" w:sz="0" w:space="0" w:color="auto"/>
            <w:bottom w:val="none" w:sz="0" w:space="0" w:color="auto"/>
            <w:right w:val="none" w:sz="0" w:space="0" w:color="auto"/>
          </w:divBdr>
        </w:div>
        <w:div w:id="1474954982">
          <w:marLeft w:val="1166"/>
          <w:marRight w:val="0"/>
          <w:marTop w:val="77"/>
          <w:marBottom w:val="0"/>
          <w:divBdr>
            <w:top w:val="none" w:sz="0" w:space="0" w:color="auto"/>
            <w:left w:val="none" w:sz="0" w:space="0" w:color="auto"/>
            <w:bottom w:val="none" w:sz="0" w:space="0" w:color="auto"/>
            <w:right w:val="none" w:sz="0" w:space="0" w:color="auto"/>
          </w:divBdr>
        </w:div>
        <w:div w:id="386301772">
          <w:marLeft w:val="547"/>
          <w:marRight w:val="0"/>
          <w:marTop w:val="96"/>
          <w:marBottom w:val="0"/>
          <w:divBdr>
            <w:top w:val="none" w:sz="0" w:space="0" w:color="auto"/>
            <w:left w:val="none" w:sz="0" w:space="0" w:color="auto"/>
            <w:bottom w:val="none" w:sz="0" w:space="0" w:color="auto"/>
            <w:right w:val="none" w:sz="0" w:space="0" w:color="auto"/>
          </w:divBdr>
        </w:div>
      </w:divsChild>
    </w:div>
    <w:div w:id="1146824176">
      <w:bodyDiv w:val="1"/>
      <w:marLeft w:val="0"/>
      <w:marRight w:val="0"/>
      <w:marTop w:val="0"/>
      <w:marBottom w:val="0"/>
      <w:divBdr>
        <w:top w:val="none" w:sz="0" w:space="0" w:color="auto"/>
        <w:left w:val="none" w:sz="0" w:space="0" w:color="auto"/>
        <w:bottom w:val="none" w:sz="0" w:space="0" w:color="auto"/>
        <w:right w:val="none" w:sz="0" w:space="0" w:color="auto"/>
      </w:divBdr>
    </w:div>
    <w:div w:id="1161433607">
      <w:bodyDiv w:val="1"/>
      <w:marLeft w:val="0"/>
      <w:marRight w:val="0"/>
      <w:marTop w:val="0"/>
      <w:marBottom w:val="0"/>
      <w:divBdr>
        <w:top w:val="none" w:sz="0" w:space="0" w:color="auto"/>
        <w:left w:val="none" w:sz="0" w:space="0" w:color="auto"/>
        <w:bottom w:val="none" w:sz="0" w:space="0" w:color="auto"/>
        <w:right w:val="none" w:sz="0" w:space="0" w:color="auto"/>
      </w:divBdr>
    </w:div>
    <w:div w:id="1223714645">
      <w:bodyDiv w:val="1"/>
      <w:marLeft w:val="0"/>
      <w:marRight w:val="0"/>
      <w:marTop w:val="0"/>
      <w:marBottom w:val="0"/>
      <w:divBdr>
        <w:top w:val="none" w:sz="0" w:space="0" w:color="auto"/>
        <w:left w:val="none" w:sz="0" w:space="0" w:color="auto"/>
        <w:bottom w:val="none" w:sz="0" w:space="0" w:color="auto"/>
        <w:right w:val="none" w:sz="0" w:space="0" w:color="auto"/>
      </w:divBdr>
    </w:div>
    <w:div w:id="1255020318">
      <w:bodyDiv w:val="1"/>
      <w:marLeft w:val="0"/>
      <w:marRight w:val="0"/>
      <w:marTop w:val="0"/>
      <w:marBottom w:val="0"/>
      <w:divBdr>
        <w:top w:val="none" w:sz="0" w:space="0" w:color="auto"/>
        <w:left w:val="none" w:sz="0" w:space="0" w:color="auto"/>
        <w:bottom w:val="none" w:sz="0" w:space="0" w:color="auto"/>
        <w:right w:val="none" w:sz="0" w:space="0" w:color="auto"/>
      </w:divBdr>
      <w:divsChild>
        <w:div w:id="1989094591">
          <w:marLeft w:val="547"/>
          <w:marRight w:val="0"/>
          <w:marTop w:val="96"/>
          <w:marBottom w:val="0"/>
          <w:divBdr>
            <w:top w:val="none" w:sz="0" w:space="0" w:color="auto"/>
            <w:left w:val="none" w:sz="0" w:space="0" w:color="auto"/>
            <w:bottom w:val="none" w:sz="0" w:space="0" w:color="auto"/>
            <w:right w:val="none" w:sz="0" w:space="0" w:color="auto"/>
          </w:divBdr>
        </w:div>
        <w:div w:id="70322036">
          <w:marLeft w:val="547"/>
          <w:marRight w:val="0"/>
          <w:marTop w:val="96"/>
          <w:marBottom w:val="0"/>
          <w:divBdr>
            <w:top w:val="none" w:sz="0" w:space="0" w:color="auto"/>
            <w:left w:val="none" w:sz="0" w:space="0" w:color="auto"/>
            <w:bottom w:val="none" w:sz="0" w:space="0" w:color="auto"/>
            <w:right w:val="none" w:sz="0" w:space="0" w:color="auto"/>
          </w:divBdr>
        </w:div>
        <w:div w:id="1662466239">
          <w:marLeft w:val="547"/>
          <w:marRight w:val="0"/>
          <w:marTop w:val="96"/>
          <w:marBottom w:val="0"/>
          <w:divBdr>
            <w:top w:val="none" w:sz="0" w:space="0" w:color="auto"/>
            <w:left w:val="none" w:sz="0" w:space="0" w:color="auto"/>
            <w:bottom w:val="none" w:sz="0" w:space="0" w:color="auto"/>
            <w:right w:val="none" w:sz="0" w:space="0" w:color="auto"/>
          </w:divBdr>
        </w:div>
        <w:div w:id="612057221">
          <w:marLeft w:val="547"/>
          <w:marRight w:val="0"/>
          <w:marTop w:val="96"/>
          <w:marBottom w:val="0"/>
          <w:divBdr>
            <w:top w:val="none" w:sz="0" w:space="0" w:color="auto"/>
            <w:left w:val="none" w:sz="0" w:space="0" w:color="auto"/>
            <w:bottom w:val="none" w:sz="0" w:space="0" w:color="auto"/>
            <w:right w:val="none" w:sz="0" w:space="0" w:color="auto"/>
          </w:divBdr>
        </w:div>
        <w:div w:id="1799951577">
          <w:marLeft w:val="547"/>
          <w:marRight w:val="0"/>
          <w:marTop w:val="96"/>
          <w:marBottom w:val="0"/>
          <w:divBdr>
            <w:top w:val="none" w:sz="0" w:space="0" w:color="auto"/>
            <w:left w:val="none" w:sz="0" w:space="0" w:color="auto"/>
            <w:bottom w:val="none" w:sz="0" w:space="0" w:color="auto"/>
            <w:right w:val="none" w:sz="0" w:space="0" w:color="auto"/>
          </w:divBdr>
        </w:div>
      </w:divsChild>
    </w:div>
    <w:div w:id="1257131609">
      <w:bodyDiv w:val="1"/>
      <w:marLeft w:val="0"/>
      <w:marRight w:val="0"/>
      <w:marTop w:val="0"/>
      <w:marBottom w:val="0"/>
      <w:divBdr>
        <w:top w:val="none" w:sz="0" w:space="0" w:color="auto"/>
        <w:left w:val="none" w:sz="0" w:space="0" w:color="auto"/>
        <w:bottom w:val="none" w:sz="0" w:space="0" w:color="auto"/>
        <w:right w:val="none" w:sz="0" w:space="0" w:color="auto"/>
      </w:divBdr>
    </w:div>
    <w:div w:id="1275987586">
      <w:bodyDiv w:val="1"/>
      <w:marLeft w:val="0"/>
      <w:marRight w:val="0"/>
      <w:marTop w:val="0"/>
      <w:marBottom w:val="0"/>
      <w:divBdr>
        <w:top w:val="none" w:sz="0" w:space="0" w:color="auto"/>
        <w:left w:val="none" w:sz="0" w:space="0" w:color="auto"/>
        <w:bottom w:val="none" w:sz="0" w:space="0" w:color="auto"/>
        <w:right w:val="none" w:sz="0" w:space="0" w:color="auto"/>
      </w:divBdr>
    </w:div>
    <w:div w:id="1295334388">
      <w:bodyDiv w:val="1"/>
      <w:marLeft w:val="0"/>
      <w:marRight w:val="0"/>
      <w:marTop w:val="0"/>
      <w:marBottom w:val="0"/>
      <w:divBdr>
        <w:top w:val="none" w:sz="0" w:space="0" w:color="auto"/>
        <w:left w:val="none" w:sz="0" w:space="0" w:color="auto"/>
        <w:bottom w:val="none" w:sz="0" w:space="0" w:color="auto"/>
        <w:right w:val="none" w:sz="0" w:space="0" w:color="auto"/>
      </w:divBdr>
      <w:divsChild>
        <w:div w:id="823742939">
          <w:marLeft w:val="547"/>
          <w:marRight w:val="0"/>
          <w:marTop w:val="96"/>
          <w:marBottom w:val="0"/>
          <w:divBdr>
            <w:top w:val="none" w:sz="0" w:space="0" w:color="auto"/>
            <w:left w:val="none" w:sz="0" w:space="0" w:color="auto"/>
            <w:bottom w:val="none" w:sz="0" w:space="0" w:color="auto"/>
            <w:right w:val="none" w:sz="0" w:space="0" w:color="auto"/>
          </w:divBdr>
        </w:div>
        <w:div w:id="127555615">
          <w:marLeft w:val="547"/>
          <w:marRight w:val="0"/>
          <w:marTop w:val="96"/>
          <w:marBottom w:val="0"/>
          <w:divBdr>
            <w:top w:val="none" w:sz="0" w:space="0" w:color="auto"/>
            <w:left w:val="none" w:sz="0" w:space="0" w:color="auto"/>
            <w:bottom w:val="none" w:sz="0" w:space="0" w:color="auto"/>
            <w:right w:val="none" w:sz="0" w:space="0" w:color="auto"/>
          </w:divBdr>
        </w:div>
        <w:div w:id="1178620426">
          <w:marLeft w:val="547"/>
          <w:marRight w:val="0"/>
          <w:marTop w:val="96"/>
          <w:marBottom w:val="0"/>
          <w:divBdr>
            <w:top w:val="none" w:sz="0" w:space="0" w:color="auto"/>
            <w:left w:val="none" w:sz="0" w:space="0" w:color="auto"/>
            <w:bottom w:val="none" w:sz="0" w:space="0" w:color="auto"/>
            <w:right w:val="none" w:sz="0" w:space="0" w:color="auto"/>
          </w:divBdr>
        </w:div>
        <w:div w:id="655108150">
          <w:marLeft w:val="547"/>
          <w:marRight w:val="0"/>
          <w:marTop w:val="96"/>
          <w:marBottom w:val="0"/>
          <w:divBdr>
            <w:top w:val="none" w:sz="0" w:space="0" w:color="auto"/>
            <w:left w:val="none" w:sz="0" w:space="0" w:color="auto"/>
            <w:bottom w:val="none" w:sz="0" w:space="0" w:color="auto"/>
            <w:right w:val="none" w:sz="0" w:space="0" w:color="auto"/>
          </w:divBdr>
        </w:div>
        <w:div w:id="1721711500">
          <w:marLeft w:val="547"/>
          <w:marRight w:val="0"/>
          <w:marTop w:val="96"/>
          <w:marBottom w:val="0"/>
          <w:divBdr>
            <w:top w:val="none" w:sz="0" w:space="0" w:color="auto"/>
            <w:left w:val="none" w:sz="0" w:space="0" w:color="auto"/>
            <w:bottom w:val="none" w:sz="0" w:space="0" w:color="auto"/>
            <w:right w:val="none" w:sz="0" w:space="0" w:color="auto"/>
          </w:divBdr>
        </w:div>
        <w:div w:id="233974461">
          <w:marLeft w:val="547"/>
          <w:marRight w:val="0"/>
          <w:marTop w:val="96"/>
          <w:marBottom w:val="0"/>
          <w:divBdr>
            <w:top w:val="none" w:sz="0" w:space="0" w:color="auto"/>
            <w:left w:val="none" w:sz="0" w:space="0" w:color="auto"/>
            <w:bottom w:val="none" w:sz="0" w:space="0" w:color="auto"/>
            <w:right w:val="none" w:sz="0" w:space="0" w:color="auto"/>
          </w:divBdr>
        </w:div>
        <w:div w:id="1386760880">
          <w:marLeft w:val="1166"/>
          <w:marRight w:val="0"/>
          <w:marTop w:val="77"/>
          <w:marBottom w:val="0"/>
          <w:divBdr>
            <w:top w:val="none" w:sz="0" w:space="0" w:color="auto"/>
            <w:left w:val="none" w:sz="0" w:space="0" w:color="auto"/>
            <w:bottom w:val="none" w:sz="0" w:space="0" w:color="auto"/>
            <w:right w:val="none" w:sz="0" w:space="0" w:color="auto"/>
          </w:divBdr>
        </w:div>
      </w:divsChild>
    </w:div>
    <w:div w:id="1345596011">
      <w:bodyDiv w:val="1"/>
      <w:marLeft w:val="0"/>
      <w:marRight w:val="0"/>
      <w:marTop w:val="0"/>
      <w:marBottom w:val="0"/>
      <w:divBdr>
        <w:top w:val="none" w:sz="0" w:space="0" w:color="auto"/>
        <w:left w:val="none" w:sz="0" w:space="0" w:color="auto"/>
        <w:bottom w:val="none" w:sz="0" w:space="0" w:color="auto"/>
        <w:right w:val="none" w:sz="0" w:space="0" w:color="auto"/>
      </w:divBdr>
      <w:divsChild>
        <w:div w:id="1616979369">
          <w:marLeft w:val="547"/>
          <w:marRight w:val="0"/>
          <w:marTop w:val="96"/>
          <w:marBottom w:val="0"/>
          <w:divBdr>
            <w:top w:val="none" w:sz="0" w:space="0" w:color="auto"/>
            <w:left w:val="none" w:sz="0" w:space="0" w:color="auto"/>
            <w:bottom w:val="none" w:sz="0" w:space="0" w:color="auto"/>
            <w:right w:val="none" w:sz="0" w:space="0" w:color="auto"/>
          </w:divBdr>
        </w:div>
        <w:div w:id="1493642996">
          <w:marLeft w:val="547"/>
          <w:marRight w:val="0"/>
          <w:marTop w:val="96"/>
          <w:marBottom w:val="0"/>
          <w:divBdr>
            <w:top w:val="none" w:sz="0" w:space="0" w:color="auto"/>
            <w:left w:val="none" w:sz="0" w:space="0" w:color="auto"/>
            <w:bottom w:val="none" w:sz="0" w:space="0" w:color="auto"/>
            <w:right w:val="none" w:sz="0" w:space="0" w:color="auto"/>
          </w:divBdr>
        </w:div>
      </w:divsChild>
    </w:div>
    <w:div w:id="1372996498">
      <w:bodyDiv w:val="1"/>
      <w:marLeft w:val="0"/>
      <w:marRight w:val="0"/>
      <w:marTop w:val="0"/>
      <w:marBottom w:val="0"/>
      <w:divBdr>
        <w:top w:val="none" w:sz="0" w:space="0" w:color="auto"/>
        <w:left w:val="none" w:sz="0" w:space="0" w:color="auto"/>
        <w:bottom w:val="none" w:sz="0" w:space="0" w:color="auto"/>
        <w:right w:val="none" w:sz="0" w:space="0" w:color="auto"/>
      </w:divBdr>
    </w:div>
    <w:div w:id="1429814326">
      <w:bodyDiv w:val="1"/>
      <w:marLeft w:val="0"/>
      <w:marRight w:val="0"/>
      <w:marTop w:val="0"/>
      <w:marBottom w:val="0"/>
      <w:divBdr>
        <w:top w:val="none" w:sz="0" w:space="0" w:color="auto"/>
        <w:left w:val="none" w:sz="0" w:space="0" w:color="auto"/>
        <w:bottom w:val="none" w:sz="0" w:space="0" w:color="auto"/>
        <w:right w:val="none" w:sz="0" w:space="0" w:color="auto"/>
      </w:divBdr>
    </w:div>
    <w:div w:id="1454252156">
      <w:bodyDiv w:val="1"/>
      <w:marLeft w:val="0"/>
      <w:marRight w:val="0"/>
      <w:marTop w:val="0"/>
      <w:marBottom w:val="0"/>
      <w:divBdr>
        <w:top w:val="none" w:sz="0" w:space="0" w:color="auto"/>
        <w:left w:val="none" w:sz="0" w:space="0" w:color="auto"/>
        <w:bottom w:val="none" w:sz="0" w:space="0" w:color="auto"/>
        <w:right w:val="none" w:sz="0" w:space="0" w:color="auto"/>
      </w:divBdr>
      <w:divsChild>
        <w:div w:id="1976133973">
          <w:marLeft w:val="547"/>
          <w:marRight w:val="0"/>
          <w:marTop w:val="96"/>
          <w:marBottom w:val="0"/>
          <w:divBdr>
            <w:top w:val="none" w:sz="0" w:space="0" w:color="auto"/>
            <w:left w:val="none" w:sz="0" w:space="0" w:color="auto"/>
            <w:bottom w:val="none" w:sz="0" w:space="0" w:color="auto"/>
            <w:right w:val="none" w:sz="0" w:space="0" w:color="auto"/>
          </w:divBdr>
        </w:div>
        <w:div w:id="1490560105">
          <w:marLeft w:val="1166"/>
          <w:marRight w:val="0"/>
          <w:marTop w:val="77"/>
          <w:marBottom w:val="0"/>
          <w:divBdr>
            <w:top w:val="none" w:sz="0" w:space="0" w:color="auto"/>
            <w:left w:val="none" w:sz="0" w:space="0" w:color="auto"/>
            <w:bottom w:val="none" w:sz="0" w:space="0" w:color="auto"/>
            <w:right w:val="none" w:sz="0" w:space="0" w:color="auto"/>
          </w:divBdr>
        </w:div>
        <w:div w:id="436677393">
          <w:marLeft w:val="547"/>
          <w:marRight w:val="0"/>
          <w:marTop w:val="96"/>
          <w:marBottom w:val="0"/>
          <w:divBdr>
            <w:top w:val="none" w:sz="0" w:space="0" w:color="auto"/>
            <w:left w:val="none" w:sz="0" w:space="0" w:color="auto"/>
            <w:bottom w:val="none" w:sz="0" w:space="0" w:color="auto"/>
            <w:right w:val="none" w:sz="0" w:space="0" w:color="auto"/>
          </w:divBdr>
        </w:div>
        <w:div w:id="260459020">
          <w:marLeft w:val="1166"/>
          <w:marRight w:val="0"/>
          <w:marTop w:val="77"/>
          <w:marBottom w:val="0"/>
          <w:divBdr>
            <w:top w:val="none" w:sz="0" w:space="0" w:color="auto"/>
            <w:left w:val="none" w:sz="0" w:space="0" w:color="auto"/>
            <w:bottom w:val="none" w:sz="0" w:space="0" w:color="auto"/>
            <w:right w:val="none" w:sz="0" w:space="0" w:color="auto"/>
          </w:divBdr>
        </w:div>
        <w:div w:id="569734964">
          <w:marLeft w:val="547"/>
          <w:marRight w:val="0"/>
          <w:marTop w:val="96"/>
          <w:marBottom w:val="0"/>
          <w:divBdr>
            <w:top w:val="none" w:sz="0" w:space="0" w:color="auto"/>
            <w:left w:val="none" w:sz="0" w:space="0" w:color="auto"/>
            <w:bottom w:val="none" w:sz="0" w:space="0" w:color="auto"/>
            <w:right w:val="none" w:sz="0" w:space="0" w:color="auto"/>
          </w:divBdr>
        </w:div>
        <w:div w:id="1861814712">
          <w:marLeft w:val="1166"/>
          <w:marRight w:val="0"/>
          <w:marTop w:val="77"/>
          <w:marBottom w:val="0"/>
          <w:divBdr>
            <w:top w:val="none" w:sz="0" w:space="0" w:color="auto"/>
            <w:left w:val="none" w:sz="0" w:space="0" w:color="auto"/>
            <w:bottom w:val="none" w:sz="0" w:space="0" w:color="auto"/>
            <w:right w:val="none" w:sz="0" w:space="0" w:color="auto"/>
          </w:divBdr>
        </w:div>
      </w:divsChild>
    </w:div>
    <w:div w:id="1533957419">
      <w:bodyDiv w:val="1"/>
      <w:marLeft w:val="0"/>
      <w:marRight w:val="0"/>
      <w:marTop w:val="0"/>
      <w:marBottom w:val="0"/>
      <w:divBdr>
        <w:top w:val="none" w:sz="0" w:space="0" w:color="auto"/>
        <w:left w:val="none" w:sz="0" w:space="0" w:color="auto"/>
        <w:bottom w:val="none" w:sz="0" w:space="0" w:color="auto"/>
        <w:right w:val="none" w:sz="0" w:space="0" w:color="auto"/>
      </w:divBdr>
    </w:div>
    <w:div w:id="1550729365">
      <w:bodyDiv w:val="1"/>
      <w:marLeft w:val="0"/>
      <w:marRight w:val="0"/>
      <w:marTop w:val="0"/>
      <w:marBottom w:val="0"/>
      <w:divBdr>
        <w:top w:val="none" w:sz="0" w:space="0" w:color="auto"/>
        <w:left w:val="none" w:sz="0" w:space="0" w:color="auto"/>
        <w:bottom w:val="none" w:sz="0" w:space="0" w:color="auto"/>
        <w:right w:val="none" w:sz="0" w:space="0" w:color="auto"/>
      </w:divBdr>
    </w:div>
    <w:div w:id="1573419500">
      <w:bodyDiv w:val="1"/>
      <w:marLeft w:val="0"/>
      <w:marRight w:val="0"/>
      <w:marTop w:val="0"/>
      <w:marBottom w:val="0"/>
      <w:divBdr>
        <w:top w:val="none" w:sz="0" w:space="0" w:color="auto"/>
        <w:left w:val="none" w:sz="0" w:space="0" w:color="auto"/>
        <w:bottom w:val="none" w:sz="0" w:space="0" w:color="auto"/>
        <w:right w:val="none" w:sz="0" w:space="0" w:color="auto"/>
      </w:divBdr>
    </w:div>
    <w:div w:id="1583905470">
      <w:bodyDiv w:val="1"/>
      <w:marLeft w:val="0"/>
      <w:marRight w:val="0"/>
      <w:marTop w:val="0"/>
      <w:marBottom w:val="0"/>
      <w:divBdr>
        <w:top w:val="none" w:sz="0" w:space="0" w:color="auto"/>
        <w:left w:val="none" w:sz="0" w:space="0" w:color="auto"/>
        <w:bottom w:val="none" w:sz="0" w:space="0" w:color="auto"/>
        <w:right w:val="none" w:sz="0" w:space="0" w:color="auto"/>
      </w:divBdr>
    </w:div>
    <w:div w:id="1599097923">
      <w:bodyDiv w:val="1"/>
      <w:marLeft w:val="0"/>
      <w:marRight w:val="0"/>
      <w:marTop w:val="0"/>
      <w:marBottom w:val="0"/>
      <w:divBdr>
        <w:top w:val="none" w:sz="0" w:space="0" w:color="auto"/>
        <w:left w:val="none" w:sz="0" w:space="0" w:color="auto"/>
        <w:bottom w:val="none" w:sz="0" w:space="0" w:color="auto"/>
        <w:right w:val="none" w:sz="0" w:space="0" w:color="auto"/>
      </w:divBdr>
    </w:div>
    <w:div w:id="1640839903">
      <w:bodyDiv w:val="1"/>
      <w:marLeft w:val="0"/>
      <w:marRight w:val="0"/>
      <w:marTop w:val="0"/>
      <w:marBottom w:val="0"/>
      <w:divBdr>
        <w:top w:val="none" w:sz="0" w:space="0" w:color="auto"/>
        <w:left w:val="none" w:sz="0" w:space="0" w:color="auto"/>
        <w:bottom w:val="none" w:sz="0" w:space="0" w:color="auto"/>
        <w:right w:val="none" w:sz="0" w:space="0" w:color="auto"/>
      </w:divBdr>
    </w:div>
    <w:div w:id="1695111577">
      <w:bodyDiv w:val="1"/>
      <w:marLeft w:val="0"/>
      <w:marRight w:val="0"/>
      <w:marTop w:val="0"/>
      <w:marBottom w:val="0"/>
      <w:divBdr>
        <w:top w:val="none" w:sz="0" w:space="0" w:color="auto"/>
        <w:left w:val="none" w:sz="0" w:space="0" w:color="auto"/>
        <w:bottom w:val="none" w:sz="0" w:space="0" w:color="auto"/>
        <w:right w:val="none" w:sz="0" w:space="0" w:color="auto"/>
      </w:divBdr>
    </w:div>
    <w:div w:id="1703745857">
      <w:bodyDiv w:val="1"/>
      <w:marLeft w:val="0"/>
      <w:marRight w:val="0"/>
      <w:marTop w:val="0"/>
      <w:marBottom w:val="0"/>
      <w:divBdr>
        <w:top w:val="none" w:sz="0" w:space="0" w:color="auto"/>
        <w:left w:val="none" w:sz="0" w:space="0" w:color="auto"/>
        <w:bottom w:val="none" w:sz="0" w:space="0" w:color="auto"/>
        <w:right w:val="none" w:sz="0" w:space="0" w:color="auto"/>
      </w:divBdr>
    </w:div>
    <w:div w:id="1736273001">
      <w:bodyDiv w:val="1"/>
      <w:marLeft w:val="0"/>
      <w:marRight w:val="0"/>
      <w:marTop w:val="0"/>
      <w:marBottom w:val="0"/>
      <w:divBdr>
        <w:top w:val="none" w:sz="0" w:space="0" w:color="auto"/>
        <w:left w:val="none" w:sz="0" w:space="0" w:color="auto"/>
        <w:bottom w:val="none" w:sz="0" w:space="0" w:color="auto"/>
        <w:right w:val="none" w:sz="0" w:space="0" w:color="auto"/>
      </w:divBdr>
      <w:divsChild>
        <w:div w:id="221406296">
          <w:marLeft w:val="547"/>
          <w:marRight w:val="0"/>
          <w:marTop w:val="96"/>
          <w:marBottom w:val="0"/>
          <w:divBdr>
            <w:top w:val="none" w:sz="0" w:space="0" w:color="auto"/>
            <w:left w:val="none" w:sz="0" w:space="0" w:color="auto"/>
            <w:bottom w:val="none" w:sz="0" w:space="0" w:color="auto"/>
            <w:right w:val="none" w:sz="0" w:space="0" w:color="auto"/>
          </w:divBdr>
        </w:div>
        <w:div w:id="219052508">
          <w:marLeft w:val="1166"/>
          <w:marRight w:val="0"/>
          <w:marTop w:val="77"/>
          <w:marBottom w:val="0"/>
          <w:divBdr>
            <w:top w:val="none" w:sz="0" w:space="0" w:color="auto"/>
            <w:left w:val="none" w:sz="0" w:space="0" w:color="auto"/>
            <w:bottom w:val="none" w:sz="0" w:space="0" w:color="auto"/>
            <w:right w:val="none" w:sz="0" w:space="0" w:color="auto"/>
          </w:divBdr>
        </w:div>
        <w:div w:id="2023318823">
          <w:marLeft w:val="547"/>
          <w:marRight w:val="0"/>
          <w:marTop w:val="96"/>
          <w:marBottom w:val="0"/>
          <w:divBdr>
            <w:top w:val="none" w:sz="0" w:space="0" w:color="auto"/>
            <w:left w:val="none" w:sz="0" w:space="0" w:color="auto"/>
            <w:bottom w:val="none" w:sz="0" w:space="0" w:color="auto"/>
            <w:right w:val="none" w:sz="0" w:space="0" w:color="auto"/>
          </w:divBdr>
        </w:div>
        <w:div w:id="554899769">
          <w:marLeft w:val="1166"/>
          <w:marRight w:val="0"/>
          <w:marTop w:val="77"/>
          <w:marBottom w:val="0"/>
          <w:divBdr>
            <w:top w:val="none" w:sz="0" w:space="0" w:color="auto"/>
            <w:left w:val="none" w:sz="0" w:space="0" w:color="auto"/>
            <w:bottom w:val="none" w:sz="0" w:space="0" w:color="auto"/>
            <w:right w:val="none" w:sz="0" w:space="0" w:color="auto"/>
          </w:divBdr>
        </w:div>
        <w:div w:id="1836921897">
          <w:marLeft w:val="547"/>
          <w:marRight w:val="0"/>
          <w:marTop w:val="96"/>
          <w:marBottom w:val="0"/>
          <w:divBdr>
            <w:top w:val="none" w:sz="0" w:space="0" w:color="auto"/>
            <w:left w:val="none" w:sz="0" w:space="0" w:color="auto"/>
            <w:bottom w:val="none" w:sz="0" w:space="0" w:color="auto"/>
            <w:right w:val="none" w:sz="0" w:space="0" w:color="auto"/>
          </w:divBdr>
        </w:div>
        <w:div w:id="266666606">
          <w:marLeft w:val="1166"/>
          <w:marRight w:val="0"/>
          <w:marTop w:val="77"/>
          <w:marBottom w:val="0"/>
          <w:divBdr>
            <w:top w:val="none" w:sz="0" w:space="0" w:color="auto"/>
            <w:left w:val="none" w:sz="0" w:space="0" w:color="auto"/>
            <w:bottom w:val="none" w:sz="0" w:space="0" w:color="auto"/>
            <w:right w:val="none" w:sz="0" w:space="0" w:color="auto"/>
          </w:divBdr>
        </w:div>
        <w:div w:id="782387190">
          <w:marLeft w:val="547"/>
          <w:marRight w:val="0"/>
          <w:marTop w:val="96"/>
          <w:marBottom w:val="0"/>
          <w:divBdr>
            <w:top w:val="none" w:sz="0" w:space="0" w:color="auto"/>
            <w:left w:val="none" w:sz="0" w:space="0" w:color="auto"/>
            <w:bottom w:val="none" w:sz="0" w:space="0" w:color="auto"/>
            <w:right w:val="none" w:sz="0" w:space="0" w:color="auto"/>
          </w:divBdr>
        </w:div>
        <w:div w:id="626546790">
          <w:marLeft w:val="1166"/>
          <w:marRight w:val="0"/>
          <w:marTop w:val="77"/>
          <w:marBottom w:val="0"/>
          <w:divBdr>
            <w:top w:val="none" w:sz="0" w:space="0" w:color="auto"/>
            <w:left w:val="none" w:sz="0" w:space="0" w:color="auto"/>
            <w:bottom w:val="none" w:sz="0" w:space="0" w:color="auto"/>
            <w:right w:val="none" w:sz="0" w:space="0" w:color="auto"/>
          </w:divBdr>
        </w:div>
      </w:divsChild>
    </w:div>
    <w:div w:id="1755857324">
      <w:bodyDiv w:val="1"/>
      <w:marLeft w:val="0"/>
      <w:marRight w:val="0"/>
      <w:marTop w:val="0"/>
      <w:marBottom w:val="0"/>
      <w:divBdr>
        <w:top w:val="none" w:sz="0" w:space="0" w:color="auto"/>
        <w:left w:val="none" w:sz="0" w:space="0" w:color="auto"/>
        <w:bottom w:val="none" w:sz="0" w:space="0" w:color="auto"/>
        <w:right w:val="none" w:sz="0" w:space="0" w:color="auto"/>
      </w:divBdr>
    </w:div>
    <w:div w:id="1767841396">
      <w:bodyDiv w:val="1"/>
      <w:marLeft w:val="0"/>
      <w:marRight w:val="0"/>
      <w:marTop w:val="0"/>
      <w:marBottom w:val="0"/>
      <w:divBdr>
        <w:top w:val="none" w:sz="0" w:space="0" w:color="auto"/>
        <w:left w:val="none" w:sz="0" w:space="0" w:color="auto"/>
        <w:bottom w:val="none" w:sz="0" w:space="0" w:color="auto"/>
        <w:right w:val="none" w:sz="0" w:space="0" w:color="auto"/>
      </w:divBdr>
    </w:div>
    <w:div w:id="1771662458">
      <w:bodyDiv w:val="1"/>
      <w:marLeft w:val="0"/>
      <w:marRight w:val="0"/>
      <w:marTop w:val="0"/>
      <w:marBottom w:val="0"/>
      <w:divBdr>
        <w:top w:val="none" w:sz="0" w:space="0" w:color="auto"/>
        <w:left w:val="none" w:sz="0" w:space="0" w:color="auto"/>
        <w:bottom w:val="none" w:sz="0" w:space="0" w:color="auto"/>
        <w:right w:val="none" w:sz="0" w:space="0" w:color="auto"/>
      </w:divBdr>
    </w:div>
    <w:div w:id="1792892840">
      <w:bodyDiv w:val="1"/>
      <w:marLeft w:val="0"/>
      <w:marRight w:val="0"/>
      <w:marTop w:val="0"/>
      <w:marBottom w:val="0"/>
      <w:divBdr>
        <w:top w:val="none" w:sz="0" w:space="0" w:color="auto"/>
        <w:left w:val="none" w:sz="0" w:space="0" w:color="auto"/>
        <w:bottom w:val="none" w:sz="0" w:space="0" w:color="auto"/>
        <w:right w:val="none" w:sz="0" w:space="0" w:color="auto"/>
      </w:divBdr>
      <w:divsChild>
        <w:div w:id="58329390">
          <w:marLeft w:val="547"/>
          <w:marRight w:val="0"/>
          <w:marTop w:val="96"/>
          <w:marBottom w:val="0"/>
          <w:divBdr>
            <w:top w:val="none" w:sz="0" w:space="0" w:color="auto"/>
            <w:left w:val="none" w:sz="0" w:space="0" w:color="auto"/>
            <w:bottom w:val="none" w:sz="0" w:space="0" w:color="auto"/>
            <w:right w:val="none" w:sz="0" w:space="0" w:color="auto"/>
          </w:divBdr>
        </w:div>
        <w:div w:id="624236268">
          <w:marLeft w:val="547"/>
          <w:marRight w:val="0"/>
          <w:marTop w:val="96"/>
          <w:marBottom w:val="0"/>
          <w:divBdr>
            <w:top w:val="none" w:sz="0" w:space="0" w:color="auto"/>
            <w:left w:val="none" w:sz="0" w:space="0" w:color="auto"/>
            <w:bottom w:val="none" w:sz="0" w:space="0" w:color="auto"/>
            <w:right w:val="none" w:sz="0" w:space="0" w:color="auto"/>
          </w:divBdr>
        </w:div>
      </w:divsChild>
    </w:div>
    <w:div w:id="1795713580">
      <w:bodyDiv w:val="1"/>
      <w:marLeft w:val="0"/>
      <w:marRight w:val="0"/>
      <w:marTop w:val="0"/>
      <w:marBottom w:val="0"/>
      <w:divBdr>
        <w:top w:val="none" w:sz="0" w:space="0" w:color="auto"/>
        <w:left w:val="none" w:sz="0" w:space="0" w:color="auto"/>
        <w:bottom w:val="none" w:sz="0" w:space="0" w:color="auto"/>
        <w:right w:val="none" w:sz="0" w:space="0" w:color="auto"/>
      </w:divBdr>
    </w:div>
    <w:div w:id="1849128170">
      <w:bodyDiv w:val="1"/>
      <w:marLeft w:val="0"/>
      <w:marRight w:val="0"/>
      <w:marTop w:val="0"/>
      <w:marBottom w:val="0"/>
      <w:divBdr>
        <w:top w:val="none" w:sz="0" w:space="0" w:color="auto"/>
        <w:left w:val="none" w:sz="0" w:space="0" w:color="auto"/>
        <w:bottom w:val="none" w:sz="0" w:space="0" w:color="auto"/>
        <w:right w:val="none" w:sz="0" w:space="0" w:color="auto"/>
      </w:divBdr>
    </w:div>
    <w:div w:id="1852065718">
      <w:bodyDiv w:val="1"/>
      <w:marLeft w:val="0"/>
      <w:marRight w:val="0"/>
      <w:marTop w:val="0"/>
      <w:marBottom w:val="0"/>
      <w:divBdr>
        <w:top w:val="none" w:sz="0" w:space="0" w:color="auto"/>
        <w:left w:val="none" w:sz="0" w:space="0" w:color="auto"/>
        <w:bottom w:val="none" w:sz="0" w:space="0" w:color="auto"/>
        <w:right w:val="none" w:sz="0" w:space="0" w:color="auto"/>
      </w:divBdr>
      <w:divsChild>
        <w:div w:id="414862963">
          <w:marLeft w:val="547"/>
          <w:marRight w:val="0"/>
          <w:marTop w:val="86"/>
          <w:marBottom w:val="0"/>
          <w:divBdr>
            <w:top w:val="none" w:sz="0" w:space="0" w:color="auto"/>
            <w:left w:val="none" w:sz="0" w:space="0" w:color="auto"/>
            <w:bottom w:val="none" w:sz="0" w:space="0" w:color="auto"/>
            <w:right w:val="none" w:sz="0" w:space="0" w:color="auto"/>
          </w:divBdr>
        </w:div>
        <w:div w:id="842666501">
          <w:marLeft w:val="547"/>
          <w:marRight w:val="0"/>
          <w:marTop w:val="86"/>
          <w:marBottom w:val="0"/>
          <w:divBdr>
            <w:top w:val="none" w:sz="0" w:space="0" w:color="auto"/>
            <w:left w:val="none" w:sz="0" w:space="0" w:color="auto"/>
            <w:bottom w:val="none" w:sz="0" w:space="0" w:color="auto"/>
            <w:right w:val="none" w:sz="0" w:space="0" w:color="auto"/>
          </w:divBdr>
        </w:div>
        <w:div w:id="2146505941">
          <w:marLeft w:val="547"/>
          <w:marRight w:val="0"/>
          <w:marTop w:val="86"/>
          <w:marBottom w:val="0"/>
          <w:divBdr>
            <w:top w:val="none" w:sz="0" w:space="0" w:color="auto"/>
            <w:left w:val="none" w:sz="0" w:space="0" w:color="auto"/>
            <w:bottom w:val="none" w:sz="0" w:space="0" w:color="auto"/>
            <w:right w:val="none" w:sz="0" w:space="0" w:color="auto"/>
          </w:divBdr>
        </w:div>
        <w:div w:id="343872045">
          <w:marLeft w:val="1166"/>
          <w:marRight w:val="0"/>
          <w:marTop w:val="77"/>
          <w:marBottom w:val="0"/>
          <w:divBdr>
            <w:top w:val="none" w:sz="0" w:space="0" w:color="auto"/>
            <w:left w:val="none" w:sz="0" w:space="0" w:color="auto"/>
            <w:bottom w:val="none" w:sz="0" w:space="0" w:color="auto"/>
            <w:right w:val="none" w:sz="0" w:space="0" w:color="auto"/>
          </w:divBdr>
        </w:div>
        <w:div w:id="1051880066">
          <w:marLeft w:val="1166"/>
          <w:marRight w:val="0"/>
          <w:marTop w:val="77"/>
          <w:marBottom w:val="0"/>
          <w:divBdr>
            <w:top w:val="none" w:sz="0" w:space="0" w:color="auto"/>
            <w:left w:val="none" w:sz="0" w:space="0" w:color="auto"/>
            <w:bottom w:val="none" w:sz="0" w:space="0" w:color="auto"/>
            <w:right w:val="none" w:sz="0" w:space="0" w:color="auto"/>
          </w:divBdr>
        </w:div>
        <w:div w:id="628248922">
          <w:marLeft w:val="547"/>
          <w:marRight w:val="0"/>
          <w:marTop w:val="86"/>
          <w:marBottom w:val="0"/>
          <w:divBdr>
            <w:top w:val="none" w:sz="0" w:space="0" w:color="auto"/>
            <w:left w:val="none" w:sz="0" w:space="0" w:color="auto"/>
            <w:bottom w:val="none" w:sz="0" w:space="0" w:color="auto"/>
            <w:right w:val="none" w:sz="0" w:space="0" w:color="auto"/>
          </w:divBdr>
        </w:div>
        <w:div w:id="1809082487">
          <w:marLeft w:val="1166"/>
          <w:marRight w:val="0"/>
          <w:marTop w:val="77"/>
          <w:marBottom w:val="0"/>
          <w:divBdr>
            <w:top w:val="none" w:sz="0" w:space="0" w:color="auto"/>
            <w:left w:val="none" w:sz="0" w:space="0" w:color="auto"/>
            <w:bottom w:val="none" w:sz="0" w:space="0" w:color="auto"/>
            <w:right w:val="none" w:sz="0" w:space="0" w:color="auto"/>
          </w:divBdr>
        </w:div>
        <w:div w:id="33777247">
          <w:marLeft w:val="1166"/>
          <w:marRight w:val="0"/>
          <w:marTop w:val="77"/>
          <w:marBottom w:val="0"/>
          <w:divBdr>
            <w:top w:val="none" w:sz="0" w:space="0" w:color="auto"/>
            <w:left w:val="none" w:sz="0" w:space="0" w:color="auto"/>
            <w:bottom w:val="none" w:sz="0" w:space="0" w:color="auto"/>
            <w:right w:val="none" w:sz="0" w:space="0" w:color="auto"/>
          </w:divBdr>
        </w:div>
        <w:div w:id="294021814">
          <w:marLeft w:val="1166"/>
          <w:marRight w:val="0"/>
          <w:marTop w:val="77"/>
          <w:marBottom w:val="0"/>
          <w:divBdr>
            <w:top w:val="none" w:sz="0" w:space="0" w:color="auto"/>
            <w:left w:val="none" w:sz="0" w:space="0" w:color="auto"/>
            <w:bottom w:val="none" w:sz="0" w:space="0" w:color="auto"/>
            <w:right w:val="none" w:sz="0" w:space="0" w:color="auto"/>
          </w:divBdr>
        </w:div>
      </w:divsChild>
    </w:div>
    <w:div w:id="1909876120">
      <w:bodyDiv w:val="1"/>
      <w:marLeft w:val="0"/>
      <w:marRight w:val="0"/>
      <w:marTop w:val="0"/>
      <w:marBottom w:val="0"/>
      <w:divBdr>
        <w:top w:val="none" w:sz="0" w:space="0" w:color="auto"/>
        <w:left w:val="none" w:sz="0" w:space="0" w:color="auto"/>
        <w:bottom w:val="none" w:sz="0" w:space="0" w:color="auto"/>
        <w:right w:val="none" w:sz="0" w:space="0" w:color="auto"/>
      </w:divBdr>
      <w:divsChild>
        <w:div w:id="364336374">
          <w:marLeft w:val="547"/>
          <w:marRight w:val="0"/>
          <w:marTop w:val="86"/>
          <w:marBottom w:val="0"/>
          <w:divBdr>
            <w:top w:val="none" w:sz="0" w:space="0" w:color="auto"/>
            <w:left w:val="none" w:sz="0" w:space="0" w:color="auto"/>
            <w:bottom w:val="none" w:sz="0" w:space="0" w:color="auto"/>
            <w:right w:val="none" w:sz="0" w:space="0" w:color="auto"/>
          </w:divBdr>
        </w:div>
        <w:div w:id="831680026">
          <w:marLeft w:val="547"/>
          <w:marRight w:val="0"/>
          <w:marTop w:val="86"/>
          <w:marBottom w:val="0"/>
          <w:divBdr>
            <w:top w:val="none" w:sz="0" w:space="0" w:color="auto"/>
            <w:left w:val="none" w:sz="0" w:space="0" w:color="auto"/>
            <w:bottom w:val="none" w:sz="0" w:space="0" w:color="auto"/>
            <w:right w:val="none" w:sz="0" w:space="0" w:color="auto"/>
          </w:divBdr>
        </w:div>
      </w:divsChild>
    </w:div>
    <w:div w:id="1949270015">
      <w:bodyDiv w:val="1"/>
      <w:marLeft w:val="0"/>
      <w:marRight w:val="0"/>
      <w:marTop w:val="0"/>
      <w:marBottom w:val="0"/>
      <w:divBdr>
        <w:top w:val="none" w:sz="0" w:space="0" w:color="auto"/>
        <w:left w:val="none" w:sz="0" w:space="0" w:color="auto"/>
        <w:bottom w:val="none" w:sz="0" w:space="0" w:color="auto"/>
        <w:right w:val="none" w:sz="0" w:space="0" w:color="auto"/>
      </w:divBdr>
    </w:div>
    <w:div w:id="2011248367">
      <w:bodyDiv w:val="1"/>
      <w:marLeft w:val="0"/>
      <w:marRight w:val="0"/>
      <w:marTop w:val="0"/>
      <w:marBottom w:val="0"/>
      <w:divBdr>
        <w:top w:val="none" w:sz="0" w:space="0" w:color="auto"/>
        <w:left w:val="none" w:sz="0" w:space="0" w:color="auto"/>
        <w:bottom w:val="none" w:sz="0" w:space="0" w:color="auto"/>
        <w:right w:val="none" w:sz="0" w:space="0" w:color="auto"/>
      </w:divBdr>
    </w:div>
    <w:div w:id="2049184961">
      <w:bodyDiv w:val="1"/>
      <w:marLeft w:val="0"/>
      <w:marRight w:val="0"/>
      <w:marTop w:val="0"/>
      <w:marBottom w:val="0"/>
      <w:divBdr>
        <w:top w:val="none" w:sz="0" w:space="0" w:color="auto"/>
        <w:left w:val="none" w:sz="0" w:space="0" w:color="auto"/>
        <w:bottom w:val="none" w:sz="0" w:space="0" w:color="auto"/>
        <w:right w:val="none" w:sz="0" w:space="0" w:color="auto"/>
      </w:divBdr>
    </w:div>
    <w:div w:id="2064720126">
      <w:bodyDiv w:val="1"/>
      <w:marLeft w:val="0"/>
      <w:marRight w:val="0"/>
      <w:marTop w:val="0"/>
      <w:marBottom w:val="0"/>
      <w:divBdr>
        <w:top w:val="none" w:sz="0" w:space="0" w:color="auto"/>
        <w:left w:val="none" w:sz="0" w:space="0" w:color="auto"/>
        <w:bottom w:val="none" w:sz="0" w:space="0" w:color="auto"/>
        <w:right w:val="none" w:sz="0" w:space="0" w:color="auto"/>
      </w:divBdr>
    </w:div>
    <w:div w:id="2091270092">
      <w:bodyDiv w:val="1"/>
      <w:marLeft w:val="0"/>
      <w:marRight w:val="0"/>
      <w:marTop w:val="0"/>
      <w:marBottom w:val="0"/>
      <w:divBdr>
        <w:top w:val="none" w:sz="0" w:space="0" w:color="auto"/>
        <w:left w:val="none" w:sz="0" w:space="0" w:color="auto"/>
        <w:bottom w:val="none" w:sz="0" w:space="0" w:color="auto"/>
        <w:right w:val="none" w:sz="0" w:space="0" w:color="auto"/>
      </w:divBdr>
    </w:div>
    <w:div w:id="2094349126">
      <w:bodyDiv w:val="1"/>
      <w:marLeft w:val="0"/>
      <w:marRight w:val="0"/>
      <w:marTop w:val="0"/>
      <w:marBottom w:val="0"/>
      <w:divBdr>
        <w:top w:val="none" w:sz="0" w:space="0" w:color="auto"/>
        <w:left w:val="none" w:sz="0" w:space="0" w:color="auto"/>
        <w:bottom w:val="none" w:sz="0" w:space="0" w:color="auto"/>
        <w:right w:val="none" w:sz="0" w:space="0" w:color="auto"/>
      </w:divBdr>
    </w:div>
    <w:div w:id="2129160885">
      <w:bodyDiv w:val="1"/>
      <w:marLeft w:val="0"/>
      <w:marRight w:val="0"/>
      <w:marTop w:val="0"/>
      <w:marBottom w:val="0"/>
      <w:divBdr>
        <w:top w:val="none" w:sz="0" w:space="0" w:color="auto"/>
        <w:left w:val="none" w:sz="0" w:space="0" w:color="auto"/>
        <w:bottom w:val="none" w:sz="0" w:space="0" w:color="auto"/>
        <w:right w:val="none" w:sz="0" w:space="0" w:color="auto"/>
      </w:divBdr>
    </w:div>
    <w:div w:id="2144350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1.safelinks.protection.outlook.com/?url=https%3A%2F%2Fdoi.org%2F10.1016%2Fs0140-6736(24)01306-0&amp;data=05%7C02%7CKhadija.Rantell%40mhra.gov.uk%7Cdeb84df41bbf41a86f7508dcef5148e4%7Ce527ea5c62584cd2a27f8bd237ec4c26%7C0%7C0%7C638648379635450257%7CUnknown%7CTWFpbGZsb3d8eyJWIjoiMC4wLjAwMDAiLCJQIjoiV2luMzIiLCJBTiI6Ik1haWwiLCJXVCI6Mn0%3D%7C0%7C%7C%7C&amp;sdata=lF%2B5HbfHNt9wE%2FveNU8ToLqLhhWxAhswkRtjG8%2BSqFg%3D&amp;reserved=0" TargetMode="External"/><Relationship Id="rId13" Type="http://schemas.openxmlformats.org/officeDocument/2006/relationships/hyperlink" Target="https://assets.publishing.service.gov.uk/media/66ea9144c069f68b7681bce8/Data_strategy_2024_4.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ssets.publishing.service.gov.uk/media/662fce1e9e82181baa98a988/MHRA_Impact-of-AI-on-the-regulation-of-medical-products.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arxiv.org/html/2404.11150v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mj.com/content/383/bmj-2023-076387" TargetMode="External"/><Relationship Id="rId5" Type="http://schemas.openxmlformats.org/officeDocument/2006/relationships/webSettings" Target="webSettings.xml"/><Relationship Id="rId15" Type="http://schemas.openxmlformats.org/officeDocument/2006/relationships/hyperlink" Target="https://doi.org/10.2202/1557-4679.1211" TargetMode="External"/><Relationship Id="rId10" Type="http://schemas.openxmlformats.org/officeDocument/2006/relationships/hyperlink" Target="https://www.bmj.com/content/383/bmj-2023-076386" TargetMode="External"/><Relationship Id="rId4" Type="http://schemas.openxmlformats.org/officeDocument/2006/relationships/settings" Target="settings.xml"/><Relationship Id="rId9" Type="http://schemas.openxmlformats.org/officeDocument/2006/relationships/hyperlink" Target="https://eur01.safelinks.protection.outlook.com/?url=https%3A%2F%2Fdoi.org%2F10.1001%2Fjama.2024.15219&amp;data=05%7C02%7CKhadija.Rantell%40mhra.gov.uk%7Cdeb84df41bbf41a86f7508dcef5148e4%7Ce527ea5c62584cd2a27f8bd237ec4c26%7C0%7C0%7C638648379635469253%7CUnknown%7CTWFpbGZsb3d8eyJWIjoiMC4wLjAwMDAiLCJQIjoiV2luMzIiLCJBTiI6Ik1haWwiLCJXVCI6Mn0%3D%7C0%7C%7C%7C&amp;sdata=W%2B27DZaGWtAk6Pc7hkY5orlqAPaSQN7TEwT7M%2Bs0ql8%3D&amp;reserved=0" TargetMode="External"/><Relationship Id="rId14" Type="http://schemas.openxmlformats.org/officeDocument/2006/relationships/hyperlink" Target="https://link.springer.com/book/10.1007/978-1-4419-978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140F05-1F0A-4BA9-B8F5-B0E21E7FFAC9}">
  <ds:schemaRefs>
    <ds:schemaRef ds:uri="http://schemas.openxmlformats.org/officeDocument/2006/bibliography"/>
  </ds:schemaRefs>
</ds:datastoreItem>
</file>

<file path=docMetadata/LabelInfo.xml><?xml version="1.0" encoding="utf-8"?>
<clbl:labelList xmlns:clbl="http://schemas.microsoft.com/office/2020/mipLabelMetadata">
  <clbl:label id="{3ca48ea3-8c75-4d36-b64f-70604b11fd22}" enabled="1" method="Standard" siteId="{3ac94b33-9135-4821-9502-eafda6592a35}" removed="0"/>
  <clbl:label id="{71e34cb8-3a56-4fd5-a259-4acadab6e4ac}" enabled="0" method="" siteId="{71e34cb8-3a56-4fd5-a259-4acadab6e4ac}" removed="1"/>
  <clbl:label id="{e1f8af86-ee95-4718-bd0d-375b37366c83}" enabled="0" method="" siteId="{e1f8af86-ee95-4718-bd0d-375b37366c83}" removed="1"/>
  <clbl:label id="{fdfed7bd-9f6a-44a1-b694-6e39c468c150}" enabled="0" method="" siteId="{fdfed7bd-9f6a-44a1-b694-6e39c468c150}" removed="1"/>
</clbl:labelList>
</file>

<file path=docProps/app.xml><?xml version="1.0" encoding="utf-8"?>
<Properties xmlns="http://schemas.openxmlformats.org/officeDocument/2006/extended-properties" xmlns:vt="http://schemas.openxmlformats.org/officeDocument/2006/docPropsVTypes">
  <Template>Normal</Template>
  <TotalTime>0</TotalTime>
  <Pages>11</Pages>
  <Words>5037</Words>
  <Characters>28717</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JHXW (Jürgen Hummel)</cp:lastModifiedBy>
  <cp:revision>2</cp:revision>
  <dcterms:created xsi:type="dcterms:W3CDTF">2024-12-11T13:12:00Z</dcterms:created>
  <dcterms:modified xsi:type="dcterms:W3CDTF">2024-12-11T16:36:00Z</dcterms:modified>
</cp:coreProperties>
</file>