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u w:val="single"/>
        </w:rPr>
      </w:pPr>
      <w:r w:rsidDel="00000000" w:rsidR="00000000" w:rsidRPr="00000000">
        <w:rPr>
          <w:b w:val="1"/>
          <w:u w:val="single"/>
          <w:rtl w:val="0"/>
        </w:rPr>
        <w:t xml:space="preserve">Session: EU HTA in 2025: Finish line or starting gate?</w:t>
      </w:r>
    </w:p>
    <w:p w:rsidR="00000000" w:rsidDel="00000000" w:rsidP="00000000" w:rsidRDefault="00000000" w:rsidRPr="00000000" w14:paraId="00000002">
      <w:pPr>
        <w:widowControl w:val="0"/>
        <w:spacing w:line="240" w:lineRule="auto"/>
        <w:jc w:val="both"/>
        <w:rPr>
          <w:i w:val="1"/>
          <w:sz w:val="24"/>
          <w:szCs w:val="24"/>
          <w:highlight w:val="white"/>
        </w:rPr>
      </w:pPr>
      <w:r w:rsidDel="00000000" w:rsidR="00000000" w:rsidRPr="00000000">
        <w:rPr>
          <w:i w:val="1"/>
          <w:sz w:val="24"/>
          <w:szCs w:val="24"/>
          <w:highlight w:val="white"/>
          <w:rtl w:val="0"/>
        </w:rPr>
        <w:t xml:space="preserve">Chair: Lara Wolfson, MSD</w:t>
      </w:r>
    </w:p>
    <w:p w:rsidR="00000000" w:rsidDel="00000000" w:rsidP="00000000" w:rsidRDefault="00000000" w:rsidRPr="00000000" w14:paraId="00000003">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4">
      <w:pPr>
        <w:widowControl w:val="0"/>
        <w:spacing w:line="240" w:lineRule="auto"/>
        <w:jc w:val="both"/>
        <w:rPr>
          <w:sz w:val="24"/>
          <w:szCs w:val="24"/>
          <w:highlight w:val="white"/>
        </w:rPr>
      </w:pPr>
      <w:r w:rsidDel="00000000" w:rsidR="00000000" w:rsidRPr="00000000">
        <w:rPr>
          <w:sz w:val="24"/>
          <w:szCs w:val="24"/>
          <w:highlight w:val="white"/>
          <w:rtl w:val="0"/>
        </w:rPr>
        <w:t xml:space="preserve">The first  EU-level Health Technology Assessment (HTA) submissions will kick off on the other side of January 2025, mandating submission of EU-level HTA evidence dossiers as part of the EU HTA Joint Clinical Assessment (JCA) process. The evidence dossiers will inform decisions about access to innovative treatments for patients across Europe and will necessitate the use of both conventional and innovative statistical methods on a scale, scope, and speed never seen before.</w:t>
      </w:r>
    </w:p>
    <w:p w:rsidR="00000000" w:rsidDel="00000000" w:rsidP="00000000" w:rsidRDefault="00000000" w:rsidRPr="00000000" w14:paraId="00000005">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40" w:lineRule="auto"/>
        <w:jc w:val="both"/>
        <w:rPr>
          <w:sz w:val="24"/>
          <w:szCs w:val="24"/>
          <w:highlight w:val="white"/>
        </w:rPr>
      </w:pPr>
      <w:r w:rsidDel="00000000" w:rsidR="00000000" w:rsidRPr="00000000">
        <w:rPr>
          <w:sz w:val="24"/>
          <w:szCs w:val="24"/>
          <w:highlight w:val="white"/>
          <w:rtl w:val="0"/>
        </w:rPr>
        <w:t xml:space="preserve">However, what exactly does this mean for statisticians involved in the EU HTA JCA? Does this mark the end of preparations, or is it the starting gate of an ultra-marathon? What part will statisticians play in one of the most significant policy changes to affect the pharmaceutical industry in the last decade?</w:t>
      </w:r>
    </w:p>
    <w:p w:rsidR="00000000" w:rsidDel="00000000" w:rsidP="00000000" w:rsidRDefault="00000000" w:rsidRPr="00000000" w14:paraId="00000007">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40" w:lineRule="auto"/>
        <w:jc w:val="both"/>
        <w:rPr>
          <w:sz w:val="24"/>
          <w:szCs w:val="24"/>
        </w:rPr>
      </w:pPr>
      <w:r w:rsidDel="00000000" w:rsidR="00000000" w:rsidRPr="00000000">
        <w:rPr>
          <w:sz w:val="24"/>
          <w:szCs w:val="24"/>
          <w:highlight w:val="white"/>
          <w:rtl w:val="0"/>
        </w:rPr>
        <w:t xml:space="preserve">With implementing acts, evidence dossier templates, and learnings from the EUnetHTA JCA pilots at hand, we can now piece together a projection of what lies ahead. Join this session to learn about how statisticians can help enhance the relevance of JCA for decision-making at the member-state level.</w:t>
      </w:r>
      <w:r w:rsidDel="00000000" w:rsidR="00000000" w:rsidRPr="00000000">
        <w:rPr>
          <w:sz w:val="24"/>
          <w:szCs w:val="24"/>
          <w:rtl w:val="0"/>
        </w:rPr>
        <w:t xml:space="preserve"> </w:t>
      </w:r>
    </w:p>
    <w:p w:rsidR="00000000" w:rsidDel="00000000" w:rsidP="00000000" w:rsidRDefault="00000000" w:rsidRPr="00000000" w14:paraId="00000009">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u w:val="single"/>
        </w:rPr>
      </w:pPr>
      <w:r w:rsidDel="00000000" w:rsidR="00000000" w:rsidRPr="00000000">
        <w:rPr>
          <w:b w:val="1"/>
          <w:u w:val="single"/>
          <w:rtl w:val="0"/>
        </w:rPr>
        <w:t xml:space="preserve">Presentation 1 - </w:t>
      </w:r>
      <w:r w:rsidDel="00000000" w:rsidR="00000000" w:rsidRPr="00000000">
        <w:rPr>
          <w:b w:val="1"/>
          <w:sz w:val="24"/>
          <w:szCs w:val="24"/>
          <w:u w:val="single"/>
          <w:rtl w:val="0"/>
        </w:rPr>
        <w:t xml:space="preserve">Overview of implementing acts and dossier templates </w:t>
      </w:r>
    </w:p>
    <w:p w:rsidR="00000000" w:rsidDel="00000000" w:rsidP="00000000" w:rsidRDefault="00000000" w:rsidRPr="00000000" w14:paraId="0000000B">
      <w:pPr>
        <w:widowControl w:val="0"/>
        <w:spacing w:line="240" w:lineRule="auto"/>
        <w:rPr>
          <w:i w:val="1"/>
          <w:sz w:val="24"/>
          <w:szCs w:val="24"/>
        </w:rPr>
      </w:pPr>
      <w:r w:rsidDel="00000000" w:rsidR="00000000" w:rsidRPr="00000000">
        <w:rPr>
          <w:i w:val="1"/>
          <w:sz w:val="24"/>
          <w:szCs w:val="24"/>
          <w:rtl w:val="0"/>
        </w:rPr>
        <w:t xml:space="preserve">Thomas Ecker, Ecker &amp; Ecker</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As per HTA Regulation (HTAR) the Implementing Acts (IA) are intended to provide key documents for the upcoming HTA process, including the dossier template as well as the template for JCA report. Now the first IA is being published as a draft. Whereas the timelines for the health technology developer (HTD) remain unchanged, some (optional) opportunities for interaction between the HTD and the relevant HTA institutions have been defined. And the scoping process has been streamlined, as indicated in the updated deliverable D4.2. Compared with deliverable 5.1 (dossier template) and 5.2 (report template), both documents have been considerably simplified and shortened. Even though this will simplify dossier preparation, the value of the dossier for the subsequent national processes might suffer. National implementation of HTAR will only be discussed after the IA are adopted, which is expected for 2</w:t>
      </w:r>
      <w:r w:rsidDel="00000000" w:rsidR="00000000" w:rsidRPr="00000000">
        <w:rPr>
          <w:sz w:val="24"/>
          <w:szCs w:val="24"/>
          <w:vertAlign w:val="superscript"/>
          <w:rtl w:val="0"/>
        </w:rPr>
        <w:t xml:space="preserve">nd</w:t>
      </w:r>
      <w:r w:rsidDel="00000000" w:rsidR="00000000" w:rsidRPr="00000000">
        <w:rPr>
          <w:sz w:val="24"/>
          <w:szCs w:val="24"/>
          <w:rtl w:val="0"/>
        </w:rPr>
        <w:t xml:space="preserve"> half of 2024, causing additional challenges for the first companies undergoing EU HTA.</w:t>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u w:val="single"/>
          <w:rtl w:val="0"/>
        </w:rPr>
        <w:t xml:space="preserve">Presentation 2 - EU HTA, the future is here - what did we learn from the EUnetHTA Joint Actions and will it be a bumpy ride</w:t>
      </w:r>
      <w:r w:rsidDel="00000000" w:rsidR="00000000" w:rsidRPr="00000000">
        <w:rPr>
          <w:b w:val="1"/>
          <w:sz w:val="24"/>
          <w:szCs w:val="24"/>
          <w:rtl w:val="0"/>
        </w:rPr>
        <w:t xml:space="preserve">?</w:t>
      </w:r>
    </w:p>
    <w:p w:rsidR="00000000" w:rsidDel="00000000" w:rsidP="00000000" w:rsidRDefault="00000000" w:rsidRPr="00000000" w14:paraId="0000000F">
      <w:pPr>
        <w:spacing w:after="240" w:before="240" w:lineRule="auto"/>
        <w:jc w:val="both"/>
        <w:rPr>
          <w:i w:val="1"/>
          <w:sz w:val="24"/>
          <w:szCs w:val="24"/>
        </w:rPr>
      </w:pPr>
      <w:r w:rsidDel="00000000" w:rsidR="00000000" w:rsidRPr="00000000">
        <w:rPr>
          <w:i w:val="1"/>
          <w:sz w:val="24"/>
          <w:szCs w:val="24"/>
          <w:rtl w:val="0"/>
        </w:rPr>
        <w:t xml:space="preserve">Sandro Gsteiger &amp; Per-Olof Thuresson, Roche</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The EU HTA regulation formalises the HTA collaboration in Europe, building on two decades of voluntary cooperation within the framework of the European Network for Health Technology Assessment (EUnetHTA). The Relative Effectiveness Assessments (REAs) performed as part of the so-called EUnetHTA Joint Actions can be seen as precursors to the Joint Clinical Assessments defined in the regulation.</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 We will briefly summarise the REA process and share some of our experiences from participating in three REA pilots. This includes challenges and lessons learned for a number of areas such as European PICOs, timelines, and local usage. Conducting REAs in parallel with regulatory assessments is inherently uncertain since the final label is not known at the time of analysis. This second-guessing increases the assessment scope as one needs to ensure that our population definition covers the population expected in the final label. In addition, EU level PICOs must balance local differences with the need for harmonising the decision problem to keep it manageable. Additionally, we will explore the incorporation of REA dossiers into local decision-making processes, especially in countries where cost-effectiveness models heavily influence appraisals.</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These topics are highly relevant also for EU HTA as set forth by the regulation. We will draw connections between past REA experiences and the proposed framework, specifically considering insights from the Implementing Act on JCA and the evolving methodological guidelines. Finally, we will conclude with some considerations on the implications for (industry) statisticians and for the broader HTA community in general.</w:t>
      </w:r>
    </w:p>
    <w:p w:rsidR="00000000" w:rsidDel="00000000" w:rsidP="00000000" w:rsidRDefault="00000000" w:rsidRPr="00000000" w14:paraId="00000013">
      <w:pPr>
        <w:spacing w:after="240" w:before="240" w:lineRule="auto"/>
        <w:jc w:val="both"/>
        <w:rPr>
          <w:b w:val="1"/>
          <w:sz w:val="24"/>
          <w:szCs w:val="24"/>
          <w:u w:val="single"/>
        </w:rPr>
      </w:pPr>
      <w:r w:rsidDel="00000000" w:rsidR="00000000" w:rsidRPr="00000000">
        <w:rPr>
          <w:b w:val="1"/>
          <w:sz w:val="24"/>
          <w:szCs w:val="24"/>
          <w:u w:val="single"/>
          <w:rtl w:val="0"/>
        </w:rPr>
        <w:t xml:space="preserve">Presentation 3  - The relevance of JCA for national decision-making: the Dutch perspective</w:t>
      </w:r>
    </w:p>
    <w:p w:rsidR="00000000" w:rsidDel="00000000" w:rsidP="00000000" w:rsidRDefault="00000000" w:rsidRPr="00000000" w14:paraId="00000014">
      <w:pPr>
        <w:spacing w:after="240" w:before="240" w:lineRule="auto"/>
        <w:jc w:val="both"/>
        <w:rPr>
          <w:i w:val="1"/>
          <w:sz w:val="24"/>
          <w:szCs w:val="24"/>
        </w:rPr>
      </w:pPr>
      <w:r w:rsidDel="00000000" w:rsidR="00000000" w:rsidRPr="00000000">
        <w:rPr>
          <w:i w:val="1"/>
          <w:sz w:val="24"/>
          <w:szCs w:val="24"/>
          <w:rtl w:val="0"/>
        </w:rPr>
        <w:t xml:space="preserve">Jelena Stevanovic, BMS</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4333.4765625" w:hRule="atLeast"/>
          <w:tblHeader w:val="0"/>
        </w:trPr>
        <w:tc>
          <w:tcPr>
            <w:tcBorders>
              <w:top w:color="000000" w:space="0" w:sz="0" w:val="nil"/>
              <w:left w:color="000000" w:space="0" w:sz="0" w:val="nil"/>
              <w:bottom w:color="000000" w:space="0" w:sz="0" w:val="nil"/>
              <w:right w:color="000000" w:space="0" w:sz="0" w:val="nil"/>
            </w:tcBorders>
            <w:tcMar>
              <w:top w:w="0.0" w:type="dxa"/>
              <w:left w:w="180.0" w:type="dxa"/>
              <w:bottom w:w="0.0" w:type="dxa"/>
              <w:right w:w="180.0" w:type="dxa"/>
            </w:tcMar>
            <w:vAlign w:val="top"/>
          </w:tcPr>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EU HTA Regulation represents an opportunity to streamline evidence assessment across Europe. When carrying out a national HTA on a health technology for which JCA reports have been published or for which a JCA has been initiated, MS are expected to give due consideration to the published JCA reports in their local HTAs, while maintaining their competence to draw conclusions on the overall clinical added value of a health technology in their local healthcare system. Dutch HTA consists of clinical benefit assessment and economic assessment including both a cost-effectiveness and budget impact analyses. We will briefly summarize how comparative effectiveness/safety analyses have been traditionally used in the Dutch market vs. how they might be impacted in the future by the JCA process once EU HTA regulation becomes effective in 2025.  </w:t>
            </w:r>
          </w:p>
        </w:tc>
      </w:tr>
    </w:tbl>
    <w:p w:rsidR="00000000" w:rsidDel="00000000" w:rsidP="00000000" w:rsidRDefault="00000000" w:rsidRPr="00000000" w14:paraId="00000016">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