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4D3E2" w14:textId="2674BF93" w:rsidR="00FF5FC9" w:rsidRPr="002234FF" w:rsidRDefault="00B62C8F">
      <w:pPr>
        <w:rPr>
          <w:sz w:val="28"/>
          <w:szCs w:val="28"/>
          <w:u w:val="single"/>
        </w:rPr>
      </w:pPr>
      <w:r w:rsidRPr="002234FF">
        <w:rPr>
          <w:sz w:val="28"/>
          <w:szCs w:val="28"/>
          <w:u w:val="single"/>
        </w:rPr>
        <w:t>Background</w:t>
      </w:r>
    </w:p>
    <w:p w14:paraId="117D8414" w14:textId="5E94AE18" w:rsidR="00D95C17" w:rsidRPr="002234FF" w:rsidRDefault="0055460A" w:rsidP="00D95C17">
      <w:pPr>
        <w:rPr>
          <w:sz w:val="22"/>
          <w:szCs w:val="22"/>
        </w:rPr>
      </w:pPr>
      <w:r w:rsidRPr="002234FF">
        <w:rPr>
          <w:sz w:val="22"/>
          <w:szCs w:val="22"/>
        </w:rPr>
        <w:t xml:space="preserve">Put yourselves into the shoes of a sponsor’s statistical lead for a novel drug </w:t>
      </w:r>
      <w:r w:rsidR="00E040F2" w:rsidRPr="002234FF">
        <w:rPr>
          <w:sz w:val="22"/>
          <w:szCs w:val="22"/>
        </w:rPr>
        <w:t>that</w:t>
      </w:r>
      <w:r w:rsidRPr="002234FF">
        <w:rPr>
          <w:sz w:val="22"/>
          <w:szCs w:val="22"/>
        </w:rPr>
        <w:t xml:space="preserve"> is at end of phase </w:t>
      </w:r>
      <w:r w:rsidR="00C83A6A" w:rsidRPr="002234FF">
        <w:rPr>
          <w:sz w:val="22"/>
          <w:szCs w:val="22"/>
        </w:rPr>
        <w:t>2</w:t>
      </w:r>
      <w:r w:rsidRPr="002234FF">
        <w:rPr>
          <w:sz w:val="22"/>
          <w:szCs w:val="22"/>
        </w:rPr>
        <w:t xml:space="preserve">. The drug is developed for treating </w:t>
      </w:r>
      <w:r w:rsidR="008B62E0">
        <w:rPr>
          <w:sz w:val="22"/>
          <w:szCs w:val="22"/>
        </w:rPr>
        <w:t>E</w:t>
      </w:r>
      <w:r w:rsidRPr="002234FF">
        <w:rPr>
          <w:sz w:val="22"/>
          <w:szCs w:val="22"/>
        </w:rPr>
        <w:t xml:space="preserve">pisodic </w:t>
      </w:r>
      <w:r w:rsidR="008B62E0">
        <w:rPr>
          <w:sz w:val="22"/>
          <w:szCs w:val="22"/>
        </w:rPr>
        <w:t>M</w:t>
      </w:r>
      <w:r w:rsidRPr="002234FF">
        <w:rPr>
          <w:sz w:val="22"/>
          <w:szCs w:val="22"/>
        </w:rPr>
        <w:t>igraine</w:t>
      </w:r>
      <w:r w:rsidR="008B62E0">
        <w:rPr>
          <w:sz w:val="22"/>
          <w:szCs w:val="22"/>
        </w:rPr>
        <w:t xml:space="preserve"> (EM)</w:t>
      </w:r>
      <w:r w:rsidRPr="002234FF">
        <w:rPr>
          <w:sz w:val="22"/>
          <w:szCs w:val="22"/>
        </w:rPr>
        <w:t xml:space="preserve">. </w:t>
      </w:r>
      <w:r w:rsidR="00E040F2" w:rsidRPr="002234FF">
        <w:rPr>
          <w:sz w:val="22"/>
          <w:szCs w:val="22"/>
        </w:rPr>
        <w:t>To simplify things, the focus will be on efficacy</w:t>
      </w:r>
      <w:r w:rsidR="001072B2" w:rsidRPr="002234FF">
        <w:rPr>
          <w:sz w:val="22"/>
          <w:szCs w:val="22"/>
        </w:rPr>
        <w:t xml:space="preserve">, </w:t>
      </w:r>
      <w:r w:rsidR="00E040F2" w:rsidRPr="002234FF">
        <w:rPr>
          <w:sz w:val="22"/>
          <w:szCs w:val="22"/>
        </w:rPr>
        <w:t>restricted to the primary variable. This primary variable is the number of monthly migraine days (MMD)</w:t>
      </w:r>
      <w:r w:rsidR="002B75AB">
        <w:rPr>
          <w:sz w:val="22"/>
          <w:szCs w:val="22"/>
        </w:rPr>
        <w:t xml:space="preserve"> counted </w:t>
      </w:r>
      <w:r w:rsidR="00670335">
        <w:rPr>
          <w:sz w:val="22"/>
          <w:szCs w:val="22"/>
        </w:rPr>
        <w:t xml:space="preserve">over </w:t>
      </w:r>
      <w:r w:rsidR="001072B2" w:rsidRPr="002234FF">
        <w:rPr>
          <w:sz w:val="22"/>
          <w:szCs w:val="22"/>
        </w:rPr>
        <w:t>4 weeks.</w:t>
      </w:r>
      <w:r w:rsidR="00496378" w:rsidRPr="002234FF">
        <w:rPr>
          <w:sz w:val="22"/>
          <w:szCs w:val="22"/>
        </w:rPr>
        <w:t xml:space="preserve"> </w:t>
      </w:r>
      <w:r w:rsidR="00D95C17" w:rsidRPr="002234FF">
        <w:rPr>
          <w:sz w:val="22"/>
          <w:szCs w:val="22"/>
        </w:rPr>
        <w:t xml:space="preserve">The way this is evaluated is typically as follows (example from </w:t>
      </w:r>
      <w:r w:rsidR="00591212">
        <w:rPr>
          <w:sz w:val="22"/>
          <w:szCs w:val="22"/>
        </w:rPr>
        <w:t>P</w:t>
      </w:r>
      <w:r w:rsidR="00D95C17" w:rsidRPr="002234FF">
        <w:rPr>
          <w:sz w:val="22"/>
          <w:szCs w:val="22"/>
        </w:rPr>
        <w:t xml:space="preserve">hase </w:t>
      </w:r>
      <w:r w:rsidR="00275841" w:rsidRPr="002234FF">
        <w:rPr>
          <w:sz w:val="22"/>
          <w:szCs w:val="22"/>
        </w:rPr>
        <w:t>2</w:t>
      </w:r>
      <w:r w:rsidR="00D95C17" w:rsidRPr="002234FF">
        <w:rPr>
          <w:sz w:val="22"/>
          <w:szCs w:val="22"/>
        </w:rPr>
        <w:t xml:space="preserve"> study): </w:t>
      </w:r>
    </w:p>
    <w:p w14:paraId="20CAAF50" w14:textId="588EC153" w:rsidR="001072B2" w:rsidRPr="002234FF" w:rsidRDefault="00F40542" w:rsidP="00D95C17">
      <w:pPr>
        <w:pStyle w:val="ListParagraph"/>
        <w:numPr>
          <w:ilvl w:val="0"/>
          <w:numId w:val="1"/>
        </w:numPr>
        <w:rPr>
          <w:sz w:val="22"/>
          <w:szCs w:val="22"/>
        </w:rPr>
      </w:pPr>
      <w:r w:rsidRPr="002234FF">
        <w:rPr>
          <w:sz w:val="22"/>
          <w:szCs w:val="22"/>
        </w:rPr>
        <w:t xml:space="preserve">Derive change from baseline as </w:t>
      </w:r>
      <w:r w:rsidR="00D95C17" w:rsidRPr="002234FF">
        <w:rPr>
          <w:sz w:val="22"/>
          <w:szCs w:val="22"/>
        </w:rPr>
        <w:t xml:space="preserve">(number of migraine days between weeks 9 and 12 of double-blind treatment </w:t>
      </w:r>
      <w:r w:rsidR="00C83A6A" w:rsidRPr="002234FF">
        <w:rPr>
          <w:sz w:val="22"/>
          <w:szCs w:val="22"/>
        </w:rPr>
        <w:t>-</w:t>
      </w:r>
      <w:r w:rsidR="00D95C17" w:rsidRPr="002234FF">
        <w:rPr>
          <w:sz w:val="22"/>
          <w:szCs w:val="22"/>
        </w:rPr>
        <w:t xml:space="preserve"> number of migraine days during the</w:t>
      </w:r>
      <w:r w:rsidRPr="002234FF">
        <w:rPr>
          <w:sz w:val="22"/>
          <w:szCs w:val="22"/>
        </w:rPr>
        <w:t xml:space="preserve"> </w:t>
      </w:r>
      <w:r w:rsidR="00D95C17" w:rsidRPr="002234FF">
        <w:rPr>
          <w:sz w:val="22"/>
          <w:szCs w:val="22"/>
        </w:rPr>
        <w:t>4 weeks of baseline).</w:t>
      </w:r>
      <w:r w:rsidR="00784C12">
        <w:rPr>
          <w:sz w:val="22"/>
          <w:szCs w:val="22"/>
        </w:rPr>
        <w:t xml:space="preserve"> It is assumed normally distributed.</w:t>
      </w:r>
    </w:p>
    <w:p w14:paraId="29E3E638" w14:textId="7FC9B117" w:rsidR="00F40542" w:rsidRPr="002234FF" w:rsidRDefault="00F40542" w:rsidP="00D95C17">
      <w:pPr>
        <w:pStyle w:val="ListParagraph"/>
        <w:numPr>
          <w:ilvl w:val="0"/>
          <w:numId w:val="1"/>
        </w:numPr>
        <w:rPr>
          <w:sz w:val="22"/>
          <w:szCs w:val="22"/>
        </w:rPr>
      </w:pPr>
      <w:r w:rsidRPr="002234FF">
        <w:rPr>
          <w:sz w:val="22"/>
          <w:szCs w:val="22"/>
        </w:rPr>
        <w:t>Analyze difference in means using ANCOVA</w:t>
      </w:r>
    </w:p>
    <w:p w14:paraId="7B8B4667" w14:textId="09469529" w:rsidR="0055460A" w:rsidRDefault="00275841">
      <w:pPr>
        <w:rPr>
          <w:sz w:val="22"/>
          <w:szCs w:val="22"/>
        </w:rPr>
      </w:pPr>
      <w:r w:rsidRPr="006B2F62">
        <w:rPr>
          <w:sz w:val="22"/>
          <w:szCs w:val="22"/>
        </w:rPr>
        <w:t>At the end of phase 2</w:t>
      </w:r>
      <w:r w:rsidR="00B00FC7" w:rsidRPr="006B2F62">
        <w:rPr>
          <w:sz w:val="22"/>
          <w:szCs w:val="22"/>
        </w:rPr>
        <w:t xml:space="preserve"> </w:t>
      </w:r>
      <w:r w:rsidRPr="006B2F62">
        <w:rPr>
          <w:sz w:val="22"/>
          <w:szCs w:val="22"/>
        </w:rPr>
        <w:t xml:space="preserve">dose-finding study with 4 arms (3:2:2:2 randomized, </w:t>
      </w:r>
      <w:r w:rsidR="00591212" w:rsidRPr="006B2F62">
        <w:rPr>
          <w:sz w:val="22"/>
          <w:szCs w:val="22"/>
        </w:rPr>
        <w:t>P</w:t>
      </w:r>
      <w:r w:rsidRPr="006B2F62">
        <w:rPr>
          <w:sz w:val="22"/>
          <w:szCs w:val="22"/>
        </w:rPr>
        <w:t xml:space="preserve">lacebo vs 3 doses of active, </w:t>
      </w:r>
      <w:r w:rsidR="00591212" w:rsidRPr="006B2F62">
        <w:rPr>
          <w:sz w:val="22"/>
          <w:szCs w:val="22"/>
        </w:rPr>
        <w:t>D</w:t>
      </w:r>
      <w:r w:rsidRPr="006B2F62">
        <w:rPr>
          <w:sz w:val="22"/>
          <w:szCs w:val="22"/>
        </w:rPr>
        <w:t>ose</w:t>
      </w:r>
      <w:r w:rsidR="00153623" w:rsidRPr="006B2F62">
        <w:rPr>
          <w:sz w:val="22"/>
          <w:szCs w:val="22"/>
        </w:rPr>
        <w:t>_</w:t>
      </w:r>
      <w:r w:rsidRPr="006B2F62">
        <w:rPr>
          <w:sz w:val="22"/>
          <w:szCs w:val="22"/>
        </w:rPr>
        <w:t xml:space="preserve">1, </w:t>
      </w:r>
      <w:r w:rsidR="00591212" w:rsidRPr="006B2F62">
        <w:rPr>
          <w:sz w:val="22"/>
          <w:szCs w:val="22"/>
        </w:rPr>
        <w:t>D</w:t>
      </w:r>
      <w:r w:rsidRPr="006B2F62">
        <w:rPr>
          <w:sz w:val="22"/>
          <w:szCs w:val="22"/>
        </w:rPr>
        <w:t>ose</w:t>
      </w:r>
      <w:r w:rsidR="00153623" w:rsidRPr="006B2F62">
        <w:rPr>
          <w:sz w:val="22"/>
          <w:szCs w:val="22"/>
        </w:rPr>
        <w:t>_</w:t>
      </w:r>
      <w:r w:rsidRPr="006B2F62">
        <w:rPr>
          <w:sz w:val="22"/>
          <w:szCs w:val="22"/>
        </w:rPr>
        <w:t xml:space="preserve">2, </w:t>
      </w:r>
      <w:r w:rsidR="00591212" w:rsidRPr="006B2F62">
        <w:rPr>
          <w:sz w:val="22"/>
          <w:szCs w:val="22"/>
        </w:rPr>
        <w:t>D</w:t>
      </w:r>
      <w:r w:rsidRPr="006B2F62">
        <w:rPr>
          <w:sz w:val="22"/>
          <w:szCs w:val="22"/>
        </w:rPr>
        <w:t>ose</w:t>
      </w:r>
      <w:r w:rsidR="00153623" w:rsidRPr="006B2F62">
        <w:rPr>
          <w:sz w:val="22"/>
          <w:szCs w:val="22"/>
        </w:rPr>
        <w:t>_</w:t>
      </w:r>
      <w:r w:rsidRPr="006B2F62">
        <w:rPr>
          <w:sz w:val="22"/>
          <w:szCs w:val="22"/>
        </w:rPr>
        <w:t>3)</w:t>
      </w:r>
      <w:r w:rsidR="00B00FC7" w:rsidRPr="006B2F62">
        <w:rPr>
          <w:sz w:val="22"/>
          <w:szCs w:val="22"/>
        </w:rPr>
        <w:t xml:space="preserve">, the following information </w:t>
      </w:r>
      <w:r w:rsidR="00E37483" w:rsidRPr="006B2F62">
        <w:rPr>
          <w:sz w:val="22"/>
          <w:szCs w:val="22"/>
        </w:rPr>
        <w:t>for “Monthly Migraine Days” (MMD)</w:t>
      </w:r>
      <w:r w:rsidR="00B46C50" w:rsidRPr="006B2F62">
        <w:rPr>
          <w:sz w:val="22"/>
          <w:szCs w:val="22"/>
        </w:rPr>
        <w:t xml:space="preserve"> are </w:t>
      </w:r>
      <w:r w:rsidR="005A0DB2" w:rsidRPr="006B2F62">
        <w:rPr>
          <w:sz w:val="22"/>
          <w:szCs w:val="22"/>
        </w:rPr>
        <w:t xml:space="preserve">available and </w:t>
      </w:r>
      <w:r w:rsidR="00B46C50" w:rsidRPr="006B2F62">
        <w:rPr>
          <w:sz w:val="22"/>
          <w:szCs w:val="22"/>
        </w:rPr>
        <w:t>summarized below.</w:t>
      </w:r>
      <w:r w:rsidR="00B46C50" w:rsidRPr="002234FF">
        <w:rPr>
          <w:sz w:val="22"/>
          <w:szCs w:val="22"/>
        </w:rPr>
        <w:t xml:space="preserve"> </w:t>
      </w:r>
    </w:p>
    <w:tbl>
      <w:tblPr>
        <w:tblStyle w:val="TableGrid"/>
        <w:tblW w:w="0" w:type="auto"/>
        <w:tblLook w:val="04A0" w:firstRow="1" w:lastRow="0" w:firstColumn="1" w:lastColumn="0" w:noHBand="0" w:noVBand="1"/>
      </w:tblPr>
      <w:tblGrid>
        <w:gridCol w:w="3539"/>
        <w:gridCol w:w="1418"/>
        <w:gridCol w:w="1559"/>
        <w:gridCol w:w="1417"/>
        <w:gridCol w:w="1417"/>
      </w:tblGrid>
      <w:tr w:rsidR="0096166B" w14:paraId="35048A05" w14:textId="77777777" w:rsidTr="0096166B">
        <w:tc>
          <w:tcPr>
            <w:tcW w:w="3539" w:type="dxa"/>
            <w:vMerge w:val="restart"/>
          </w:tcPr>
          <w:p w14:paraId="532C6550" w14:textId="77777777" w:rsidR="0096166B" w:rsidRPr="0096166B" w:rsidRDefault="0096166B">
            <w:pPr>
              <w:rPr>
                <w:b/>
                <w:bCs/>
                <w:sz w:val="22"/>
                <w:szCs w:val="22"/>
              </w:rPr>
            </w:pPr>
          </w:p>
        </w:tc>
        <w:tc>
          <w:tcPr>
            <w:tcW w:w="5811" w:type="dxa"/>
            <w:gridSpan w:val="4"/>
          </w:tcPr>
          <w:p w14:paraId="37403380" w14:textId="6E0882FC" w:rsidR="0096166B" w:rsidRPr="0096166B" w:rsidRDefault="0096166B" w:rsidP="0096166B">
            <w:pPr>
              <w:jc w:val="center"/>
              <w:rPr>
                <w:b/>
                <w:bCs/>
                <w:sz w:val="22"/>
                <w:szCs w:val="22"/>
              </w:rPr>
            </w:pPr>
            <w:r w:rsidRPr="0096166B">
              <w:rPr>
                <w:b/>
                <w:bCs/>
                <w:sz w:val="22"/>
                <w:szCs w:val="22"/>
              </w:rPr>
              <w:t>Treatment Group</w:t>
            </w:r>
          </w:p>
        </w:tc>
      </w:tr>
      <w:tr w:rsidR="0096166B" w14:paraId="372D6CC7" w14:textId="77777777" w:rsidTr="0096166B">
        <w:tc>
          <w:tcPr>
            <w:tcW w:w="3539" w:type="dxa"/>
            <w:vMerge/>
          </w:tcPr>
          <w:p w14:paraId="0A2FB777" w14:textId="77777777" w:rsidR="0096166B" w:rsidRPr="0096166B" w:rsidRDefault="0096166B" w:rsidP="006D327A">
            <w:pPr>
              <w:rPr>
                <w:b/>
                <w:bCs/>
                <w:sz w:val="22"/>
                <w:szCs w:val="22"/>
              </w:rPr>
            </w:pPr>
          </w:p>
        </w:tc>
        <w:tc>
          <w:tcPr>
            <w:tcW w:w="1418" w:type="dxa"/>
          </w:tcPr>
          <w:p w14:paraId="639DF4F2" w14:textId="33F73B74" w:rsidR="0096166B" w:rsidRPr="0096166B" w:rsidRDefault="0096166B" w:rsidP="009430B0">
            <w:pPr>
              <w:jc w:val="center"/>
              <w:rPr>
                <w:b/>
                <w:bCs/>
                <w:sz w:val="22"/>
                <w:szCs w:val="22"/>
              </w:rPr>
            </w:pPr>
            <w:r w:rsidRPr="0096166B">
              <w:rPr>
                <w:b/>
                <w:bCs/>
                <w:sz w:val="22"/>
                <w:szCs w:val="22"/>
              </w:rPr>
              <w:t>Placebo</w:t>
            </w:r>
          </w:p>
        </w:tc>
        <w:tc>
          <w:tcPr>
            <w:tcW w:w="1559" w:type="dxa"/>
          </w:tcPr>
          <w:p w14:paraId="3DCAC1E7" w14:textId="2EB09F84" w:rsidR="0096166B" w:rsidRPr="0096166B" w:rsidRDefault="0096166B" w:rsidP="009430B0">
            <w:pPr>
              <w:jc w:val="center"/>
              <w:rPr>
                <w:b/>
                <w:bCs/>
                <w:sz w:val="22"/>
                <w:szCs w:val="22"/>
              </w:rPr>
            </w:pPr>
            <w:r w:rsidRPr="0096166B">
              <w:rPr>
                <w:b/>
                <w:bCs/>
                <w:sz w:val="22"/>
                <w:szCs w:val="22"/>
              </w:rPr>
              <w:t>Dose_1</w:t>
            </w:r>
          </w:p>
        </w:tc>
        <w:tc>
          <w:tcPr>
            <w:tcW w:w="1417" w:type="dxa"/>
          </w:tcPr>
          <w:p w14:paraId="267D9A87" w14:textId="48E464A4" w:rsidR="0096166B" w:rsidRPr="0096166B" w:rsidRDefault="0096166B" w:rsidP="009430B0">
            <w:pPr>
              <w:jc w:val="center"/>
              <w:rPr>
                <w:b/>
                <w:bCs/>
                <w:sz w:val="22"/>
                <w:szCs w:val="22"/>
              </w:rPr>
            </w:pPr>
            <w:r w:rsidRPr="0096166B">
              <w:rPr>
                <w:b/>
                <w:bCs/>
                <w:sz w:val="22"/>
                <w:szCs w:val="22"/>
              </w:rPr>
              <w:t>Dose_2</w:t>
            </w:r>
          </w:p>
        </w:tc>
        <w:tc>
          <w:tcPr>
            <w:tcW w:w="1417" w:type="dxa"/>
          </w:tcPr>
          <w:p w14:paraId="3B9DFE31" w14:textId="7CF5D1AC" w:rsidR="0096166B" w:rsidRPr="0096166B" w:rsidRDefault="0096166B" w:rsidP="009430B0">
            <w:pPr>
              <w:jc w:val="center"/>
              <w:rPr>
                <w:b/>
                <w:bCs/>
                <w:sz w:val="22"/>
                <w:szCs w:val="22"/>
              </w:rPr>
            </w:pPr>
            <w:r w:rsidRPr="0096166B">
              <w:rPr>
                <w:b/>
                <w:bCs/>
                <w:sz w:val="22"/>
                <w:szCs w:val="22"/>
              </w:rPr>
              <w:t>Dose_3</w:t>
            </w:r>
          </w:p>
        </w:tc>
      </w:tr>
      <w:tr w:rsidR="006D327A" w14:paraId="21EC20DE" w14:textId="77777777" w:rsidTr="0096166B">
        <w:tc>
          <w:tcPr>
            <w:tcW w:w="3539" w:type="dxa"/>
          </w:tcPr>
          <w:p w14:paraId="64B2D300" w14:textId="1EE0F725" w:rsidR="006D327A" w:rsidRDefault="006D327A" w:rsidP="006D327A">
            <w:pPr>
              <w:rPr>
                <w:sz w:val="22"/>
                <w:szCs w:val="22"/>
              </w:rPr>
            </w:pPr>
            <w:r>
              <w:rPr>
                <w:sz w:val="22"/>
                <w:szCs w:val="22"/>
              </w:rPr>
              <w:t>Change from Baseline</w:t>
            </w:r>
          </w:p>
        </w:tc>
        <w:tc>
          <w:tcPr>
            <w:tcW w:w="1418" w:type="dxa"/>
          </w:tcPr>
          <w:p w14:paraId="3B55967E" w14:textId="03596CEB" w:rsidR="006D327A" w:rsidRDefault="006D327A" w:rsidP="009430B0">
            <w:pPr>
              <w:jc w:val="center"/>
              <w:rPr>
                <w:sz w:val="22"/>
                <w:szCs w:val="22"/>
              </w:rPr>
            </w:pPr>
          </w:p>
        </w:tc>
        <w:tc>
          <w:tcPr>
            <w:tcW w:w="1559" w:type="dxa"/>
          </w:tcPr>
          <w:p w14:paraId="5D7B4467" w14:textId="77777777" w:rsidR="006D327A" w:rsidRDefault="006D327A" w:rsidP="009430B0">
            <w:pPr>
              <w:jc w:val="center"/>
              <w:rPr>
                <w:sz w:val="22"/>
                <w:szCs w:val="22"/>
              </w:rPr>
            </w:pPr>
          </w:p>
        </w:tc>
        <w:tc>
          <w:tcPr>
            <w:tcW w:w="1417" w:type="dxa"/>
          </w:tcPr>
          <w:p w14:paraId="5CFBFB15" w14:textId="77777777" w:rsidR="006D327A" w:rsidRDefault="006D327A" w:rsidP="009430B0">
            <w:pPr>
              <w:jc w:val="center"/>
              <w:rPr>
                <w:sz w:val="22"/>
                <w:szCs w:val="22"/>
              </w:rPr>
            </w:pPr>
          </w:p>
        </w:tc>
        <w:tc>
          <w:tcPr>
            <w:tcW w:w="1417" w:type="dxa"/>
          </w:tcPr>
          <w:p w14:paraId="49DC4266" w14:textId="77777777" w:rsidR="006D327A" w:rsidRDefault="006D327A" w:rsidP="009430B0">
            <w:pPr>
              <w:jc w:val="center"/>
              <w:rPr>
                <w:sz w:val="22"/>
                <w:szCs w:val="22"/>
              </w:rPr>
            </w:pPr>
          </w:p>
        </w:tc>
      </w:tr>
      <w:tr w:rsidR="006D327A" w14:paraId="54395333" w14:textId="77777777" w:rsidTr="0096166B">
        <w:tc>
          <w:tcPr>
            <w:tcW w:w="3539" w:type="dxa"/>
          </w:tcPr>
          <w:p w14:paraId="7AB5A801" w14:textId="641A7578" w:rsidR="006D327A" w:rsidRDefault="00A70516" w:rsidP="006D327A">
            <w:pPr>
              <w:rPr>
                <w:sz w:val="22"/>
                <w:szCs w:val="22"/>
              </w:rPr>
            </w:pPr>
            <w:r>
              <w:rPr>
                <w:sz w:val="22"/>
                <w:szCs w:val="22"/>
              </w:rPr>
              <w:t>N</w:t>
            </w:r>
          </w:p>
        </w:tc>
        <w:tc>
          <w:tcPr>
            <w:tcW w:w="1418" w:type="dxa"/>
          </w:tcPr>
          <w:p w14:paraId="25FB39E2" w14:textId="3DA97EC1" w:rsidR="006D327A" w:rsidRDefault="00905EF0" w:rsidP="009430B0">
            <w:pPr>
              <w:jc w:val="center"/>
              <w:rPr>
                <w:sz w:val="22"/>
                <w:szCs w:val="22"/>
              </w:rPr>
            </w:pPr>
            <w:r>
              <w:rPr>
                <w:sz w:val="22"/>
                <w:szCs w:val="22"/>
              </w:rPr>
              <w:t>153</w:t>
            </w:r>
          </w:p>
        </w:tc>
        <w:tc>
          <w:tcPr>
            <w:tcW w:w="1559" w:type="dxa"/>
          </w:tcPr>
          <w:p w14:paraId="31E84EF8" w14:textId="15F1A4E8" w:rsidR="006D327A" w:rsidRDefault="00905EF0" w:rsidP="009430B0">
            <w:pPr>
              <w:jc w:val="center"/>
              <w:rPr>
                <w:sz w:val="22"/>
                <w:szCs w:val="22"/>
              </w:rPr>
            </w:pPr>
            <w:r>
              <w:rPr>
                <w:sz w:val="22"/>
                <w:szCs w:val="22"/>
              </w:rPr>
              <w:t>108</w:t>
            </w:r>
          </w:p>
        </w:tc>
        <w:tc>
          <w:tcPr>
            <w:tcW w:w="1417" w:type="dxa"/>
          </w:tcPr>
          <w:p w14:paraId="382A5EF4" w14:textId="4C2C046D" w:rsidR="006D327A" w:rsidRDefault="00905EF0" w:rsidP="009430B0">
            <w:pPr>
              <w:jc w:val="center"/>
              <w:rPr>
                <w:sz w:val="22"/>
                <w:szCs w:val="22"/>
              </w:rPr>
            </w:pPr>
            <w:r>
              <w:rPr>
                <w:sz w:val="22"/>
                <w:szCs w:val="22"/>
              </w:rPr>
              <w:t>105</w:t>
            </w:r>
          </w:p>
        </w:tc>
        <w:tc>
          <w:tcPr>
            <w:tcW w:w="1417" w:type="dxa"/>
          </w:tcPr>
          <w:p w14:paraId="4C898ED5" w14:textId="428D25DE" w:rsidR="006D327A" w:rsidRDefault="00905EF0" w:rsidP="009430B0">
            <w:pPr>
              <w:jc w:val="center"/>
              <w:rPr>
                <w:sz w:val="22"/>
                <w:szCs w:val="22"/>
              </w:rPr>
            </w:pPr>
            <w:r>
              <w:rPr>
                <w:sz w:val="22"/>
                <w:szCs w:val="22"/>
              </w:rPr>
              <w:t>105</w:t>
            </w:r>
          </w:p>
        </w:tc>
      </w:tr>
      <w:tr w:rsidR="00905EF0" w14:paraId="49C7E0DD" w14:textId="77777777" w:rsidTr="0096166B">
        <w:tc>
          <w:tcPr>
            <w:tcW w:w="3539" w:type="dxa"/>
          </w:tcPr>
          <w:p w14:paraId="00B2A397" w14:textId="3ED8F330" w:rsidR="00905EF0" w:rsidRDefault="00905EF0" w:rsidP="006D327A">
            <w:pPr>
              <w:rPr>
                <w:sz w:val="22"/>
                <w:szCs w:val="22"/>
              </w:rPr>
            </w:pPr>
            <w:r>
              <w:rPr>
                <w:sz w:val="22"/>
                <w:szCs w:val="22"/>
              </w:rPr>
              <w:t>Mean MMD (SE)</w:t>
            </w:r>
          </w:p>
        </w:tc>
        <w:tc>
          <w:tcPr>
            <w:tcW w:w="1418" w:type="dxa"/>
          </w:tcPr>
          <w:p w14:paraId="603A8E7A" w14:textId="3696A5E5" w:rsidR="00905EF0" w:rsidRDefault="00030577" w:rsidP="009430B0">
            <w:pPr>
              <w:jc w:val="center"/>
              <w:rPr>
                <w:sz w:val="22"/>
                <w:szCs w:val="22"/>
              </w:rPr>
            </w:pPr>
            <w:r>
              <w:rPr>
                <w:sz w:val="22"/>
                <w:szCs w:val="22"/>
              </w:rPr>
              <w:t>-2</w:t>
            </w:r>
            <w:r w:rsidR="00B50E08">
              <w:rPr>
                <w:sz w:val="22"/>
                <w:szCs w:val="22"/>
              </w:rPr>
              <w:t>.</w:t>
            </w:r>
            <w:r>
              <w:rPr>
                <w:sz w:val="22"/>
                <w:szCs w:val="22"/>
              </w:rPr>
              <w:t>2 (0.4)</w:t>
            </w:r>
          </w:p>
        </w:tc>
        <w:tc>
          <w:tcPr>
            <w:tcW w:w="1559" w:type="dxa"/>
          </w:tcPr>
          <w:p w14:paraId="4178C81F" w14:textId="5484AC95" w:rsidR="00905EF0" w:rsidRDefault="00B50E08" w:rsidP="009430B0">
            <w:pPr>
              <w:jc w:val="center"/>
              <w:rPr>
                <w:sz w:val="22"/>
                <w:szCs w:val="22"/>
              </w:rPr>
            </w:pPr>
            <w:r>
              <w:rPr>
                <w:sz w:val="22"/>
                <w:szCs w:val="22"/>
              </w:rPr>
              <w:t>-2.1 (0.4)</w:t>
            </w:r>
          </w:p>
        </w:tc>
        <w:tc>
          <w:tcPr>
            <w:tcW w:w="1417" w:type="dxa"/>
          </w:tcPr>
          <w:p w14:paraId="51A21E7C" w14:textId="593E20D9" w:rsidR="00905EF0" w:rsidRDefault="00B50E08" w:rsidP="009430B0">
            <w:pPr>
              <w:jc w:val="center"/>
              <w:rPr>
                <w:sz w:val="22"/>
                <w:szCs w:val="22"/>
              </w:rPr>
            </w:pPr>
            <w:r>
              <w:rPr>
                <w:sz w:val="22"/>
                <w:szCs w:val="22"/>
              </w:rPr>
              <w:t>-2.4 (0.5)</w:t>
            </w:r>
          </w:p>
        </w:tc>
        <w:tc>
          <w:tcPr>
            <w:tcW w:w="1417" w:type="dxa"/>
          </w:tcPr>
          <w:p w14:paraId="537850FD" w14:textId="5C3083D1" w:rsidR="00905EF0" w:rsidRDefault="00B50E08" w:rsidP="009430B0">
            <w:pPr>
              <w:jc w:val="center"/>
              <w:rPr>
                <w:sz w:val="22"/>
                <w:szCs w:val="22"/>
              </w:rPr>
            </w:pPr>
            <w:r>
              <w:rPr>
                <w:sz w:val="22"/>
                <w:szCs w:val="22"/>
              </w:rPr>
              <w:t>-3.</w:t>
            </w:r>
            <w:r w:rsidR="00C03E81">
              <w:rPr>
                <w:sz w:val="22"/>
                <w:szCs w:val="22"/>
              </w:rPr>
              <w:t>3 (0.4)</w:t>
            </w:r>
          </w:p>
        </w:tc>
      </w:tr>
      <w:tr w:rsidR="00C03E81" w14:paraId="292E9080" w14:textId="77777777" w:rsidTr="0096166B">
        <w:tc>
          <w:tcPr>
            <w:tcW w:w="3539" w:type="dxa"/>
          </w:tcPr>
          <w:p w14:paraId="52E610C8" w14:textId="77777777" w:rsidR="00C03E81" w:rsidRDefault="00C03E81" w:rsidP="006D327A">
            <w:pPr>
              <w:rPr>
                <w:sz w:val="22"/>
                <w:szCs w:val="22"/>
              </w:rPr>
            </w:pPr>
          </w:p>
        </w:tc>
        <w:tc>
          <w:tcPr>
            <w:tcW w:w="1418" w:type="dxa"/>
          </w:tcPr>
          <w:p w14:paraId="5F1EB873" w14:textId="77777777" w:rsidR="00C03E81" w:rsidRDefault="00C03E81" w:rsidP="009430B0">
            <w:pPr>
              <w:jc w:val="center"/>
              <w:rPr>
                <w:sz w:val="22"/>
                <w:szCs w:val="22"/>
              </w:rPr>
            </w:pPr>
          </w:p>
        </w:tc>
        <w:tc>
          <w:tcPr>
            <w:tcW w:w="1559" w:type="dxa"/>
          </w:tcPr>
          <w:p w14:paraId="3896EDEB" w14:textId="77777777" w:rsidR="00C03E81" w:rsidRDefault="00C03E81" w:rsidP="009430B0">
            <w:pPr>
              <w:jc w:val="center"/>
              <w:rPr>
                <w:sz w:val="22"/>
                <w:szCs w:val="22"/>
              </w:rPr>
            </w:pPr>
          </w:p>
        </w:tc>
        <w:tc>
          <w:tcPr>
            <w:tcW w:w="1417" w:type="dxa"/>
          </w:tcPr>
          <w:p w14:paraId="1132178E" w14:textId="77777777" w:rsidR="00C03E81" w:rsidRDefault="00C03E81" w:rsidP="009430B0">
            <w:pPr>
              <w:jc w:val="center"/>
              <w:rPr>
                <w:sz w:val="22"/>
                <w:szCs w:val="22"/>
              </w:rPr>
            </w:pPr>
          </w:p>
        </w:tc>
        <w:tc>
          <w:tcPr>
            <w:tcW w:w="1417" w:type="dxa"/>
          </w:tcPr>
          <w:p w14:paraId="49BE6B7E" w14:textId="77777777" w:rsidR="00C03E81" w:rsidRDefault="00C03E81" w:rsidP="009430B0">
            <w:pPr>
              <w:jc w:val="center"/>
              <w:rPr>
                <w:sz w:val="22"/>
                <w:szCs w:val="22"/>
              </w:rPr>
            </w:pPr>
          </w:p>
        </w:tc>
      </w:tr>
      <w:tr w:rsidR="001256A3" w14:paraId="63B58F8A" w14:textId="77777777" w:rsidTr="0096166B">
        <w:tc>
          <w:tcPr>
            <w:tcW w:w="3539" w:type="dxa"/>
          </w:tcPr>
          <w:p w14:paraId="06EE3955" w14:textId="2A13F8E1" w:rsidR="001256A3" w:rsidRDefault="001256A3" w:rsidP="006D327A">
            <w:pPr>
              <w:rPr>
                <w:sz w:val="22"/>
                <w:szCs w:val="22"/>
              </w:rPr>
            </w:pPr>
            <w:r>
              <w:rPr>
                <w:sz w:val="22"/>
                <w:szCs w:val="22"/>
              </w:rPr>
              <w:t>**Adjusted Analysis</w:t>
            </w:r>
          </w:p>
        </w:tc>
        <w:tc>
          <w:tcPr>
            <w:tcW w:w="1418" w:type="dxa"/>
          </w:tcPr>
          <w:p w14:paraId="7C1A1BC3" w14:textId="77777777" w:rsidR="001256A3" w:rsidRDefault="001256A3" w:rsidP="009430B0">
            <w:pPr>
              <w:jc w:val="center"/>
              <w:rPr>
                <w:sz w:val="22"/>
                <w:szCs w:val="22"/>
              </w:rPr>
            </w:pPr>
          </w:p>
        </w:tc>
        <w:tc>
          <w:tcPr>
            <w:tcW w:w="1559" w:type="dxa"/>
          </w:tcPr>
          <w:p w14:paraId="10A7F64A" w14:textId="77777777" w:rsidR="001256A3" w:rsidRDefault="001256A3" w:rsidP="009430B0">
            <w:pPr>
              <w:jc w:val="center"/>
              <w:rPr>
                <w:sz w:val="22"/>
                <w:szCs w:val="22"/>
              </w:rPr>
            </w:pPr>
          </w:p>
        </w:tc>
        <w:tc>
          <w:tcPr>
            <w:tcW w:w="1417" w:type="dxa"/>
          </w:tcPr>
          <w:p w14:paraId="16A01E79" w14:textId="77777777" w:rsidR="001256A3" w:rsidRDefault="001256A3" w:rsidP="009430B0">
            <w:pPr>
              <w:jc w:val="center"/>
              <w:rPr>
                <w:sz w:val="22"/>
                <w:szCs w:val="22"/>
              </w:rPr>
            </w:pPr>
          </w:p>
        </w:tc>
        <w:tc>
          <w:tcPr>
            <w:tcW w:w="1417" w:type="dxa"/>
          </w:tcPr>
          <w:p w14:paraId="17BDB42B" w14:textId="77777777" w:rsidR="001256A3" w:rsidRDefault="001256A3" w:rsidP="009430B0">
            <w:pPr>
              <w:jc w:val="center"/>
              <w:rPr>
                <w:sz w:val="22"/>
                <w:szCs w:val="22"/>
              </w:rPr>
            </w:pPr>
          </w:p>
        </w:tc>
      </w:tr>
      <w:tr w:rsidR="0095061C" w14:paraId="24381365" w14:textId="77777777" w:rsidTr="0096166B">
        <w:tc>
          <w:tcPr>
            <w:tcW w:w="3539" w:type="dxa"/>
          </w:tcPr>
          <w:p w14:paraId="0A290FE3" w14:textId="34539DE8" w:rsidR="0095061C" w:rsidRDefault="0095061C" w:rsidP="0095061C">
            <w:pPr>
              <w:rPr>
                <w:sz w:val="22"/>
                <w:szCs w:val="22"/>
              </w:rPr>
            </w:pPr>
            <w:r>
              <w:rPr>
                <w:sz w:val="22"/>
                <w:szCs w:val="22"/>
              </w:rPr>
              <w:t>L</w:t>
            </w:r>
            <w:r w:rsidR="009D5692">
              <w:rPr>
                <w:sz w:val="22"/>
                <w:szCs w:val="22"/>
              </w:rPr>
              <w:t>S</w:t>
            </w:r>
            <w:r>
              <w:rPr>
                <w:sz w:val="22"/>
                <w:szCs w:val="22"/>
              </w:rPr>
              <w:t>M estimates</w:t>
            </w:r>
          </w:p>
        </w:tc>
        <w:tc>
          <w:tcPr>
            <w:tcW w:w="1418" w:type="dxa"/>
          </w:tcPr>
          <w:p w14:paraId="64532A1D" w14:textId="5981C6C0" w:rsidR="0095061C" w:rsidRDefault="0095061C" w:rsidP="009430B0">
            <w:pPr>
              <w:jc w:val="center"/>
              <w:rPr>
                <w:sz w:val="22"/>
                <w:szCs w:val="22"/>
              </w:rPr>
            </w:pPr>
            <w:r>
              <w:rPr>
                <w:sz w:val="22"/>
                <w:szCs w:val="22"/>
              </w:rPr>
              <w:t>-2.3 (0.3)</w:t>
            </w:r>
          </w:p>
        </w:tc>
        <w:tc>
          <w:tcPr>
            <w:tcW w:w="1559" w:type="dxa"/>
          </w:tcPr>
          <w:p w14:paraId="658392A5" w14:textId="4BB33BAE" w:rsidR="0095061C" w:rsidRDefault="0095061C" w:rsidP="009430B0">
            <w:pPr>
              <w:jc w:val="center"/>
              <w:rPr>
                <w:sz w:val="22"/>
                <w:szCs w:val="22"/>
              </w:rPr>
            </w:pPr>
            <w:r>
              <w:rPr>
                <w:sz w:val="22"/>
                <w:szCs w:val="22"/>
              </w:rPr>
              <w:t>-2.2 (0.4)</w:t>
            </w:r>
          </w:p>
        </w:tc>
        <w:tc>
          <w:tcPr>
            <w:tcW w:w="1417" w:type="dxa"/>
          </w:tcPr>
          <w:p w14:paraId="039DA44E" w14:textId="068991D2" w:rsidR="0095061C" w:rsidRDefault="0095061C" w:rsidP="009430B0">
            <w:pPr>
              <w:jc w:val="center"/>
              <w:rPr>
                <w:sz w:val="22"/>
                <w:szCs w:val="22"/>
              </w:rPr>
            </w:pPr>
            <w:r>
              <w:rPr>
                <w:sz w:val="22"/>
                <w:szCs w:val="22"/>
              </w:rPr>
              <w:t>-2.4 (0.4)</w:t>
            </w:r>
          </w:p>
        </w:tc>
        <w:tc>
          <w:tcPr>
            <w:tcW w:w="1417" w:type="dxa"/>
          </w:tcPr>
          <w:p w14:paraId="51B4E813" w14:textId="6AA1BD9F" w:rsidR="0095061C" w:rsidRDefault="0095061C" w:rsidP="009430B0">
            <w:pPr>
              <w:jc w:val="center"/>
              <w:rPr>
                <w:sz w:val="22"/>
                <w:szCs w:val="22"/>
              </w:rPr>
            </w:pPr>
            <w:r>
              <w:rPr>
                <w:sz w:val="22"/>
                <w:szCs w:val="22"/>
              </w:rPr>
              <w:t>-3.4 (0.4)</w:t>
            </w:r>
          </w:p>
        </w:tc>
      </w:tr>
      <w:tr w:rsidR="0095061C" w14:paraId="4860EC10" w14:textId="77777777" w:rsidTr="0096166B">
        <w:tc>
          <w:tcPr>
            <w:tcW w:w="3539" w:type="dxa"/>
          </w:tcPr>
          <w:p w14:paraId="0B65D79F" w14:textId="3F94191E" w:rsidR="0095061C" w:rsidRDefault="0095061C" w:rsidP="0095061C">
            <w:pPr>
              <w:rPr>
                <w:sz w:val="22"/>
                <w:szCs w:val="22"/>
              </w:rPr>
            </w:pPr>
            <w:r>
              <w:rPr>
                <w:sz w:val="22"/>
                <w:szCs w:val="22"/>
              </w:rPr>
              <w:t>95% CI of LSM</w:t>
            </w:r>
          </w:p>
        </w:tc>
        <w:tc>
          <w:tcPr>
            <w:tcW w:w="1418" w:type="dxa"/>
          </w:tcPr>
          <w:p w14:paraId="5D0D9CB1" w14:textId="06DDA1A8" w:rsidR="0095061C" w:rsidRDefault="0095061C" w:rsidP="009430B0">
            <w:pPr>
              <w:jc w:val="center"/>
              <w:rPr>
                <w:sz w:val="22"/>
                <w:szCs w:val="22"/>
              </w:rPr>
            </w:pPr>
            <w:r>
              <w:rPr>
                <w:sz w:val="22"/>
                <w:szCs w:val="22"/>
              </w:rPr>
              <w:t xml:space="preserve">(-2.9, </w:t>
            </w:r>
            <w:r w:rsidR="009D5692">
              <w:rPr>
                <w:sz w:val="22"/>
                <w:szCs w:val="22"/>
              </w:rPr>
              <w:t>-</w:t>
            </w:r>
            <w:r>
              <w:rPr>
                <w:sz w:val="22"/>
                <w:szCs w:val="22"/>
              </w:rPr>
              <w:t>1.7)</w:t>
            </w:r>
          </w:p>
        </w:tc>
        <w:tc>
          <w:tcPr>
            <w:tcW w:w="1559" w:type="dxa"/>
          </w:tcPr>
          <w:p w14:paraId="6E411966" w14:textId="7F8F4B5F" w:rsidR="0095061C" w:rsidRDefault="00161D68" w:rsidP="009430B0">
            <w:pPr>
              <w:jc w:val="center"/>
              <w:rPr>
                <w:sz w:val="22"/>
                <w:szCs w:val="22"/>
              </w:rPr>
            </w:pPr>
            <w:r>
              <w:rPr>
                <w:sz w:val="22"/>
                <w:szCs w:val="22"/>
              </w:rPr>
              <w:t>(</w:t>
            </w:r>
            <w:r w:rsidR="0095061C">
              <w:rPr>
                <w:sz w:val="22"/>
                <w:szCs w:val="22"/>
              </w:rPr>
              <w:t xml:space="preserve">-2.9, </w:t>
            </w:r>
            <w:r w:rsidR="009D5692">
              <w:rPr>
                <w:sz w:val="22"/>
                <w:szCs w:val="22"/>
              </w:rPr>
              <w:t>-</w:t>
            </w:r>
            <w:r w:rsidR="0095061C">
              <w:rPr>
                <w:sz w:val="22"/>
                <w:szCs w:val="22"/>
              </w:rPr>
              <w:t>1.</w:t>
            </w:r>
            <w:r>
              <w:rPr>
                <w:sz w:val="22"/>
                <w:szCs w:val="22"/>
              </w:rPr>
              <w:t>5</w:t>
            </w:r>
            <w:r w:rsidR="0095061C">
              <w:rPr>
                <w:sz w:val="22"/>
                <w:szCs w:val="22"/>
              </w:rPr>
              <w:t>)</w:t>
            </w:r>
          </w:p>
        </w:tc>
        <w:tc>
          <w:tcPr>
            <w:tcW w:w="1417" w:type="dxa"/>
          </w:tcPr>
          <w:p w14:paraId="52785BDC" w14:textId="374B7532" w:rsidR="0095061C" w:rsidRDefault="00161D68" w:rsidP="009430B0">
            <w:pPr>
              <w:jc w:val="center"/>
              <w:rPr>
                <w:sz w:val="22"/>
                <w:szCs w:val="22"/>
              </w:rPr>
            </w:pPr>
            <w:r>
              <w:rPr>
                <w:sz w:val="22"/>
                <w:szCs w:val="22"/>
              </w:rPr>
              <w:t>(</w:t>
            </w:r>
            <w:r w:rsidR="0095061C">
              <w:rPr>
                <w:sz w:val="22"/>
                <w:szCs w:val="22"/>
              </w:rPr>
              <w:t>-</w:t>
            </w:r>
            <w:r>
              <w:rPr>
                <w:sz w:val="22"/>
                <w:szCs w:val="22"/>
              </w:rPr>
              <w:t>3.1</w:t>
            </w:r>
            <w:r w:rsidR="0095061C">
              <w:rPr>
                <w:sz w:val="22"/>
                <w:szCs w:val="22"/>
              </w:rPr>
              <w:t xml:space="preserve">, </w:t>
            </w:r>
            <w:r w:rsidR="009D5692">
              <w:rPr>
                <w:sz w:val="22"/>
                <w:szCs w:val="22"/>
              </w:rPr>
              <w:t>-</w:t>
            </w:r>
            <w:r w:rsidR="0095061C">
              <w:rPr>
                <w:sz w:val="22"/>
                <w:szCs w:val="22"/>
              </w:rPr>
              <w:t>1.</w:t>
            </w:r>
            <w:r>
              <w:rPr>
                <w:sz w:val="22"/>
                <w:szCs w:val="22"/>
              </w:rPr>
              <w:t>6</w:t>
            </w:r>
            <w:r w:rsidR="0095061C">
              <w:rPr>
                <w:sz w:val="22"/>
                <w:szCs w:val="22"/>
              </w:rPr>
              <w:t>)</w:t>
            </w:r>
          </w:p>
        </w:tc>
        <w:tc>
          <w:tcPr>
            <w:tcW w:w="1417" w:type="dxa"/>
          </w:tcPr>
          <w:p w14:paraId="6E68DFDC" w14:textId="64DBD867" w:rsidR="0095061C" w:rsidRDefault="00161D68" w:rsidP="009430B0">
            <w:pPr>
              <w:jc w:val="center"/>
              <w:rPr>
                <w:sz w:val="22"/>
                <w:szCs w:val="22"/>
              </w:rPr>
            </w:pPr>
            <w:r>
              <w:rPr>
                <w:sz w:val="22"/>
                <w:szCs w:val="22"/>
              </w:rPr>
              <w:t>(</w:t>
            </w:r>
            <w:r w:rsidR="0095061C">
              <w:rPr>
                <w:sz w:val="22"/>
                <w:szCs w:val="22"/>
              </w:rPr>
              <w:t>-</w:t>
            </w:r>
            <w:r>
              <w:rPr>
                <w:sz w:val="22"/>
                <w:szCs w:val="22"/>
              </w:rPr>
              <w:t>4.1</w:t>
            </w:r>
            <w:r w:rsidR="0095061C">
              <w:rPr>
                <w:sz w:val="22"/>
                <w:szCs w:val="22"/>
              </w:rPr>
              <w:t xml:space="preserve">, </w:t>
            </w:r>
            <w:r w:rsidR="009D5692">
              <w:rPr>
                <w:sz w:val="22"/>
                <w:szCs w:val="22"/>
              </w:rPr>
              <w:t>-</w:t>
            </w:r>
            <w:r>
              <w:rPr>
                <w:sz w:val="22"/>
                <w:szCs w:val="22"/>
              </w:rPr>
              <w:t>2</w:t>
            </w:r>
            <w:r w:rsidR="0095061C">
              <w:rPr>
                <w:sz w:val="22"/>
                <w:szCs w:val="22"/>
              </w:rPr>
              <w:t>.7)</w:t>
            </w:r>
          </w:p>
        </w:tc>
      </w:tr>
      <w:tr w:rsidR="0095061C" w14:paraId="3A4BA843" w14:textId="77777777" w:rsidTr="0096166B">
        <w:tc>
          <w:tcPr>
            <w:tcW w:w="3539" w:type="dxa"/>
          </w:tcPr>
          <w:p w14:paraId="6E773523" w14:textId="13C8F77A" w:rsidR="0095061C" w:rsidRDefault="0095061C" w:rsidP="0095061C">
            <w:pPr>
              <w:rPr>
                <w:sz w:val="22"/>
                <w:szCs w:val="22"/>
              </w:rPr>
            </w:pPr>
            <w:r>
              <w:rPr>
                <w:sz w:val="22"/>
                <w:szCs w:val="22"/>
              </w:rPr>
              <w:t>Difference in LSM</w:t>
            </w:r>
          </w:p>
        </w:tc>
        <w:tc>
          <w:tcPr>
            <w:tcW w:w="1418" w:type="dxa"/>
          </w:tcPr>
          <w:p w14:paraId="6E3E78CC" w14:textId="77777777" w:rsidR="0095061C" w:rsidRDefault="0095061C" w:rsidP="009430B0">
            <w:pPr>
              <w:jc w:val="center"/>
              <w:rPr>
                <w:sz w:val="22"/>
                <w:szCs w:val="22"/>
              </w:rPr>
            </w:pPr>
          </w:p>
        </w:tc>
        <w:tc>
          <w:tcPr>
            <w:tcW w:w="1559" w:type="dxa"/>
          </w:tcPr>
          <w:p w14:paraId="6DAD1854" w14:textId="51F4C643" w:rsidR="0095061C" w:rsidRDefault="009A33FC" w:rsidP="009430B0">
            <w:pPr>
              <w:jc w:val="center"/>
              <w:rPr>
                <w:sz w:val="22"/>
                <w:szCs w:val="22"/>
              </w:rPr>
            </w:pPr>
            <w:r>
              <w:rPr>
                <w:sz w:val="22"/>
                <w:szCs w:val="22"/>
              </w:rPr>
              <w:t>0.1</w:t>
            </w:r>
          </w:p>
        </w:tc>
        <w:tc>
          <w:tcPr>
            <w:tcW w:w="1417" w:type="dxa"/>
          </w:tcPr>
          <w:p w14:paraId="248B2FD9" w14:textId="2CEA2FCA" w:rsidR="0095061C" w:rsidRDefault="009A33FC" w:rsidP="009430B0">
            <w:pPr>
              <w:jc w:val="center"/>
              <w:rPr>
                <w:sz w:val="22"/>
                <w:szCs w:val="22"/>
              </w:rPr>
            </w:pPr>
            <w:r>
              <w:rPr>
                <w:sz w:val="22"/>
                <w:szCs w:val="22"/>
              </w:rPr>
              <w:t>-0.1</w:t>
            </w:r>
          </w:p>
        </w:tc>
        <w:tc>
          <w:tcPr>
            <w:tcW w:w="1417" w:type="dxa"/>
          </w:tcPr>
          <w:p w14:paraId="0AB76FE0" w14:textId="295FF5CB" w:rsidR="0095061C" w:rsidRDefault="009A33FC" w:rsidP="009430B0">
            <w:pPr>
              <w:jc w:val="center"/>
              <w:rPr>
                <w:sz w:val="22"/>
                <w:szCs w:val="22"/>
              </w:rPr>
            </w:pPr>
            <w:r>
              <w:rPr>
                <w:sz w:val="22"/>
                <w:szCs w:val="22"/>
              </w:rPr>
              <w:t>-1.1</w:t>
            </w:r>
          </w:p>
        </w:tc>
      </w:tr>
      <w:tr w:rsidR="009A33FC" w14:paraId="3B8FDA8C" w14:textId="77777777" w:rsidTr="0096166B">
        <w:tc>
          <w:tcPr>
            <w:tcW w:w="3539" w:type="dxa"/>
          </w:tcPr>
          <w:p w14:paraId="17A135C6" w14:textId="44F5555E" w:rsidR="009A33FC" w:rsidRDefault="009A33FC" w:rsidP="009A33FC">
            <w:pPr>
              <w:rPr>
                <w:sz w:val="22"/>
                <w:szCs w:val="22"/>
              </w:rPr>
            </w:pPr>
            <w:r>
              <w:rPr>
                <w:sz w:val="22"/>
                <w:szCs w:val="22"/>
              </w:rPr>
              <w:t>95% CI of difference</w:t>
            </w:r>
          </w:p>
        </w:tc>
        <w:tc>
          <w:tcPr>
            <w:tcW w:w="1418" w:type="dxa"/>
          </w:tcPr>
          <w:p w14:paraId="1E989F95" w14:textId="4D4B3A57" w:rsidR="009A33FC" w:rsidRDefault="009A33FC" w:rsidP="009430B0">
            <w:pPr>
              <w:jc w:val="center"/>
              <w:rPr>
                <w:sz w:val="22"/>
                <w:szCs w:val="22"/>
              </w:rPr>
            </w:pPr>
          </w:p>
        </w:tc>
        <w:tc>
          <w:tcPr>
            <w:tcW w:w="1559" w:type="dxa"/>
          </w:tcPr>
          <w:p w14:paraId="602EE8E0" w14:textId="7B8EDEFB" w:rsidR="009A33FC" w:rsidRDefault="009A33FC" w:rsidP="009430B0">
            <w:pPr>
              <w:jc w:val="center"/>
              <w:rPr>
                <w:sz w:val="22"/>
                <w:szCs w:val="22"/>
              </w:rPr>
            </w:pPr>
            <w:r>
              <w:rPr>
                <w:sz w:val="22"/>
                <w:szCs w:val="22"/>
              </w:rPr>
              <w:t>(-0.8, 1.1)</w:t>
            </w:r>
          </w:p>
        </w:tc>
        <w:tc>
          <w:tcPr>
            <w:tcW w:w="1417" w:type="dxa"/>
          </w:tcPr>
          <w:p w14:paraId="02A8B9BD" w14:textId="3ACA4074" w:rsidR="009A33FC" w:rsidRDefault="009A33FC" w:rsidP="009430B0">
            <w:pPr>
              <w:jc w:val="center"/>
              <w:rPr>
                <w:sz w:val="22"/>
                <w:szCs w:val="22"/>
              </w:rPr>
            </w:pPr>
            <w:r>
              <w:rPr>
                <w:sz w:val="22"/>
                <w:szCs w:val="22"/>
              </w:rPr>
              <w:t>(-1.1, 0.9)</w:t>
            </w:r>
          </w:p>
        </w:tc>
        <w:tc>
          <w:tcPr>
            <w:tcW w:w="1417" w:type="dxa"/>
          </w:tcPr>
          <w:p w14:paraId="1DEA2B67" w14:textId="11E9B89A" w:rsidR="009A33FC" w:rsidRDefault="009A33FC" w:rsidP="009430B0">
            <w:pPr>
              <w:jc w:val="center"/>
              <w:rPr>
                <w:sz w:val="22"/>
                <w:szCs w:val="22"/>
              </w:rPr>
            </w:pPr>
            <w:r>
              <w:rPr>
                <w:sz w:val="22"/>
                <w:szCs w:val="22"/>
              </w:rPr>
              <w:t>(-2.1, -0.2)</w:t>
            </w:r>
          </w:p>
        </w:tc>
      </w:tr>
      <w:tr w:rsidR="009A33FC" w14:paraId="43269FEC" w14:textId="77777777" w:rsidTr="0096166B">
        <w:tc>
          <w:tcPr>
            <w:tcW w:w="3539" w:type="dxa"/>
          </w:tcPr>
          <w:p w14:paraId="4607806A" w14:textId="4F372E22" w:rsidR="009A33FC" w:rsidRDefault="009A33FC" w:rsidP="009A33FC">
            <w:pPr>
              <w:rPr>
                <w:sz w:val="22"/>
                <w:szCs w:val="22"/>
              </w:rPr>
            </w:pPr>
            <w:r>
              <w:rPr>
                <w:sz w:val="22"/>
                <w:szCs w:val="22"/>
              </w:rPr>
              <w:t>p-value</w:t>
            </w:r>
          </w:p>
        </w:tc>
        <w:tc>
          <w:tcPr>
            <w:tcW w:w="1418" w:type="dxa"/>
          </w:tcPr>
          <w:p w14:paraId="28D6480A" w14:textId="77777777" w:rsidR="009A33FC" w:rsidRDefault="009A33FC" w:rsidP="009430B0">
            <w:pPr>
              <w:jc w:val="center"/>
              <w:rPr>
                <w:sz w:val="22"/>
                <w:szCs w:val="22"/>
              </w:rPr>
            </w:pPr>
          </w:p>
        </w:tc>
        <w:tc>
          <w:tcPr>
            <w:tcW w:w="1559" w:type="dxa"/>
          </w:tcPr>
          <w:p w14:paraId="3F965FD4" w14:textId="52AD91B9" w:rsidR="009A33FC" w:rsidRDefault="009A33FC" w:rsidP="009430B0">
            <w:pPr>
              <w:jc w:val="center"/>
              <w:rPr>
                <w:sz w:val="22"/>
                <w:szCs w:val="22"/>
              </w:rPr>
            </w:pPr>
            <w:r>
              <w:rPr>
                <w:sz w:val="22"/>
                <w:szCs w:val="22"/>
              </w:rPr>
              <w:t>0.8</w:t>
            </w:r>
          </w:p>
        </w:tc>
        <w:tc>
          <w:tcPr>
            <w:tcW w:w="1417" w:type="dxa"/>
          </w:tcPr>
          <w:p w14:paraId="06E72AB3" w14:textId="4E945E7D" w:rsidR="009A33FC" w:rsidRDefault="009A33FC" w:rsidP="009430B0">
            <w:pPr>
              <w:jc w:val="center"/>
              <w:rPr>
                <w:sz w:val="22"/>
                <w:szCs w:val="22"/>
              </w:rPr>
            </w:pPr>
            <w:r>
              <w:rPr>
                <w:sz w:val="22"/>
                <w:szCs w:val="22"/>
              </w:rPr>
              <w:t>0.8</w:t>
            </w:r>
          </w:p>
        </w:tc>
        <w:tc>
          <w:tcPr>
            <w:tcW w:w="1417" w:type="dxa"/>
          </w:tcPr>
          <w:p w14:paraId="6D5DD0F8" w14:textId="10C22D17" w:rsidR="009A33FC" w:rsidRDefault="009A33FC" w:rsidP="009430B0">
            <w:pPr>
              <w:jc w:val="center"/>
              <w:rPr>
                <w:sz w:val="22"/>
                <w:szCs w:val="22"/>
              </w:rPr>
            </w:pPr>
            <w:r>
              <w:rPr>
                <w:sz w:val="22"/>
                <w:szCs w:val="22"/>
              </w:rPr>
              <w:t>0.021</w:t>
            </w:r>
          </w:p>
        </w:tc>
      </w:tr>
    </w:tbl>
    <w:p w14:paraId="77CD1918" w14:textId="46E8C4F4" w:rsidR="00FA3116" w:rsidRPr="0096166B" w:rsidRDefault="0066756D" w:rsidP="0066756D">
      <w:pPr>
        <w:spacing w:after="0" w:line="240" w:lineRule="auto"/>
        <w:rPr>
          <w:sz w:val="18"/>
          <w:szCs w:val="18"/>
        </w:rPr>
      </w:pPr>
      <w:r w:rsidRPr="0096166B">
        <w:rPr>
          <w:sz w:val="18"/>
          <w:szCs w:val="18"/>
        </w:rPr>
        <w:t>**The adjusted analysis taken from the sponsor’s materials is essentially the same as the unadjusted analysis. The</w:t>
      </w:r>
      <w:r w:rsidR="0096166B" w:rsidRPr="0096166B">
        <w:rPr>
          <w:sz w:val="18"/>
          <w:szCs w:val="18"/>
        </w:rPr>
        <w:t xml:space="preserve"> </w:t>
      </w:r>
      <w:r w:rsidRPr="0096166B">
        <w:rPr>
          <w:sz w:val="18"/>
          <w:szCs w:val="18"/>
        </w:rPr>
        <w:t>adjusted analysis utilizes a generalized linear mixed model which includes treatment, visit, treatment by visit</w:t>
      </w:r>
      <w:r w:rsidR="0096166B" w:rsidRPr="0096166B">
        <w:rPr>
          <w:sz w:val="18"/>
          <w:szCs w:val="18"/>
        </w:rPr>
        <w:t xml:space="preserve"> </w:t>
      </w:r>
      <w:r w:rsidRPr="0096166B">
        <w:rPr>
          <w:sz w:val="18"/>
          <w:szCs w:val="18"/>
        </w:rPr>
        <w:t>interaction stratification factors, and baseline values as covariates.</w:t>
      </w:r>
    </w:p>
    <w:p w14:paraId="26B26113" w14:textId="6B3CB642" w:rsidR="00317101" w:rsidRPr="002572A9" w:rsidRDefault="00317101" w:rsidP="00DF7244">
      <w:pPr>
        <w:spacing w:after="0"/>
      </w:pPr>
    </w:p>
    <w:p w14:paraId="4B670F15" w14:textId="1C46A8CE" w:rsidR="005A0DB2" w:rsidRDefault="005A0DB2">
      <w:pPr>
        <w:rPr>
          <w:sz w:val="22"/>
          <w:szCs w:val="22"/>
        </w:rPr>
      </w:pPr>
      <w:r w:rsidRPr="006B2F62">
        <w:rPr>
          <w:sz w:val="22"/>
          <w:szCs w:val="22"/>
        </w:rPr>
        <w:t>Following this Phase 2 study</w:t>
      </w:r>
      <w:r w:rsidR="00610C98" w:rsidRPr="006B2F62">
        <w:rPr>
          <w:sz w:val="22"/>
          <w:szCs w:val="22"/>
        </w:rPr>
        <w:t xml:space="preserve"> a decision has been made to conduct two phase 3 studies</w:t>
      </w:r>
      <w:r w:rsidR="00E3267A" w:rsidRPr="006B2F62">
        <w:rPr>
          <w:sz w:val="22"/>
          <w:szCs w:val="22"/>
        </w:rPr>
        <w:t xml:space="preserve"> </w:t>
      </w:r>
      <w:r w:rsidR="00795609" w:rsidRPr="006B2F62">
        <w:rPr>
          <w:sz w:val="22"/>
          <w:szCs w:val="22"/>
        </w:rPr>
        <w:t xml:space="preserve">of Dose 3 versus placebo </w:t>
      </w:r>
      <w:r w:rsidR="00E3267A" w:rsidRPr="006B2F62">
        <w:rPr>
          <w:sz w:val="22"/>
          <w:szCs w:val="22"/>
        </w:rPr>
        <w:t>randomized in a 1:1 ratio</w:t>
      </w:r>
      <w:r w:rsidR="007D7AD5" w:rsidRPr="006B2F62">
        <w:rPr>
          <w:sz w:val="22"/>
          <w:szCs w:val="22"/>
        </w:rPr>
        <w:t>, described as Study A and Study B</w:t>
      </w:r>
      <w:r w:rsidR="00E3267A" w:rsidRPr="006B2F62">
        <w:rPr>
          <w:sz w:val="22"/>
          <w:szCs w:val="22"/>
        </w:rPr>
        <w:t>.</w:t>
      </w:r>
    </w:p>
    <w:p w14:paraId="60B1D838" w14:textId="73D4F279" w:rsidR="00317101" w:rsidRDefault="00317101">
      <w:pPr>
        <w:rPr>
          <w:sz w:val="22"/>
          <w:szCs w:val="22"/>
        </w:rPr>
      </w:pPr>
      <w:r w:rsidRPr="002234FF">
        <w:rPr>
          <w:sz w:val="22"/>
          <w:szCs w:val="22"/>
        </w:rPr>
        <w:t>During a Type B meeting, the sponsor</w:t>
      </w:r>
      <w:r w:rsidR="00F31F57">
        <w:rPr>
          <w:sz w:val="22"/>
          <w:szCs w:val="22"/>
        </w:rPr>
        <w:t xml:space="preserve"> received</w:t>
      </w:r>
      <w:r w:rsidRPr="002234FF">
        <w:rPr>
          <w:sz w:val="22"/>
          <w:szCs w:val="22"/>
        </w:rPr>
        <w:t xml:space="preserve"> encouraging feedback on the quality and usefulness of the phase 2 study (see below). </w:t>
      </w:r>
      <w:r w:rsidR="00A70516">
        <w:rPr>
          <w:sz w:val="22"/>
          <w:szCs w:val="22"/>
        </w:rPr>
        <w:t xml:space="preserve">While we lack details around why this question was being asked and whether there had </w:t>
      </w:r>
      <w:r w:rsidR="00FA6BB1">
        <w:rPr>
          <w:sz w:val="22"/>
          <w:szCs w:val="22"/>
        </w:rPr>
        <w:t>been</w:t>
      </w:r>
      <w:r w:rsidR="00A70516">
        <w:rPr>
          <w:sz w:val="22"/>
          <w:szCs w:val="22"/>
        </w:rPr>
        <w:t xml:space="preserve"> any previous discussion with the agency around that topic, we interpret the statement in the following way:</w:t>
      </w:r>
    </w:p>
    <w:p w14:paraId="428020AD" w14:textId="77777777" w:rsidR="00A70516" w:rsidRDefault="00A70516" w:rsidP="00A70516">
      <w:pPr>
        <w:pStyle w:val="ListParagraph"/>
        <w:numPr>
          <w:ilvl w:val="0"/>
          <w:numId w:val="8"/>
        </w:numPr>
        <w:rPr>
          <w:sz w:val="22"/>
          <w:szCs w:val="22"/>
        </w:rPr>
      </w:pPr>
      <w:r>
        <w:rPr>
          <w:sz w:val="22"/>
          <w:szCs w:val="22"/>
        </w:rPr>
        <w:t>The phase 2 study is seen as a high-quality study which generated reliable evidence.</w:t>
      </w:r>
    </w:p>
    <w:p w14:paraId="56B42C06" w14:textId="77777777" w:rsidR="00A70516" w:rsidRDefault="00A70516" w:rsidP="00A70516">
      <w:pPr>
        <w:pStyle w:val="ListParagraph"/>
        <w:numPr>
          <w:ilvl w:val="0"/>
          <w:numId w:val="8"/>
        </w:numPr>
        <w:rPr>
          <w:sz w:val="22"/>
          <w:szCs w:val="22"/>
        </w:rPr>
      </w:pPr>
      <w:r>
        <w:rPr>
          <w:sz w:val="22"/>
          <w:szCs w:val="22"/>
        </w:rPr>
        <w:t>The study provides both, useful information on the treatment effect, but also on the effect in the control group.</w:t>
      </w:r>
    </w:p>
    <w:p w14:paraId="4F802B44" w14:textId="78546BAF" w:rsidR="00A70516" w:rsidRDefault="00FA6BB1" w:rsidP="00A70516">
      <w:pPr>
        <w:pStyle w:val="ListParagraph"/>
        <w:numPr>
          <w:ilvl w:val="0"/>
          <w:numId w:val="8"/>
        </w:numPr>
        <w:rPr>
          <w:sz w:val="22"/>
          <w:szCs w:val="22"/>
        </w:rPr>
      </w:pPr>
      <w:r>
        <w:rPr>
          <w:sz w:val="22"/>
          <w:szCs w:val="22"/>
        </w:rPr>
        <w:t>We</w:t>
      </w:r>
      <w:r w:rsidR="00A70516">
        <w:rPr>
          <w:sz w:val="22"/>
          <w:szCs w:val="22"/>
        </w:rPr>
        <w:t xml:space="preserve"> will focus on using the information from the control group.</w:t>
      </w:r>
    </w:p>
    <w:p w14:paraId="2658274E" w14:textId="73573CFF" w:rsidR="00F12875" w:rsidRPr="00DE5571" w:rsidRDefault="00F12875" w:rsidP="00F12875">
      <w:pPr>
        <w:autoSpaceDE w:val="0"/>
        <w:autoSpaceDN w:val="0"/>
        <w:adjustRightInd w:val="0"/>
        <w:spacing w:after="0" w:line="240" w:lineRule="auto"/>
        <w:rPr>
          <w:rFonts w:ascii="TimesNewRoman,Bold" w:hAnsi="TimesNewRoman,Bold" w:cs="TimesNewRoman,Bold"/>
          <w:b/>
          <w:bCs/>
          <w:i/>
          <w:iCs/>
          <w:color w:val="000000"/>
          <w:sz w:val="22"/>
          <w:szCs w:val="22"/>
          <w:lang w:val="en-GB"/>
        </w:rPr>
      </w:pPr>
      <w:r w:rsidRPr="00DE5571">
        <w:rPr>
          <w:rFonts w:ascii="TimesNewRoman,Bold" w:hAnsi="TimesNewRoman,Bold" w:cs="TimesNewRoman,Bold"/>
          <w:b/>
          <w:bCs/>
          <w:i/>
          <w:iCs/>
          <w:color w:val="000000"/>
          <w:sz w:val="22"/>
          <w:szCs w:val="22"/>
          <w:lang w:val="en-GB"/>
        </w:rPr>
        <w:t>FDA DISCUSSION</w:t>
      </w:r>
    </w:p>
    <w:p w14:paraId="1EE8A91D" w14:textId="77777777" w:rsidR="00F12875" w:rsidRPr="00DE5571" w:rsidRDefault="00F12875" w:rsidP="00F12875">
      <w:pPr>
        <w:spacing w:after="0" w:line="240" w:lineRule="auto"/>
        <w:rPr>
          <w:b/>
          <w:bCs/>
          <w:i/>
          <w:iCs/>
          <w:sz w:val="22"/>
          <w:szCs w:val="22"/>
        </w:rPr>
      </w:pPr>
      <w:r w:rsidRPr="00DE5571">
        <w:rPr>
          <w:b/>
          <w:bCs/>
          <w:i/>
          <w:iCs/>
          <w:sz w:val="22"/>
          <w:szCs w:val="22"/>
        </w:rPr>
        <w:t>Question 1 – Phase 3 Studies</w:t>
      </w:r>
    </w:p>
    <w:p w14:paraId="462DE107" w14:textId="17660C64" w:rsidR="00F12875" w:rsidRPr="00DE5571" w:rsidRDefault="00F12875" w:rsidP="00F12875">
      <w:pPr>
        <w:spacing w:after="0" w:line="240" w:lineRule="auto"/>
        <w:rPr>
          <w:i/>
          <w:iCs/>
          <w:sz w:val="22"/>
          <w:szCs w:val="22"/>
        </w:rPr>
      </w:pPr>
      <w:r w:rsidRPr="00DE5571">
        <w:rPr>
          <w:i/>
          <w:iCs/>
          <w:sz w:val="22"/>
          <w:szCs w:val="22"/>
        </w:rPr>
        <w:t>Does the Agency agree that the proposed global, randomized, double-blind, placebo controlled,</w:t>
      </w:r>
      <w:r w:rsidR="005C7868">
        <w:rPr>
          <w:i/>
          <w:iCs/>
          <w:sz w:val="22"/>
          <w:szCs w:val="22"/>
        </w:rPr>
        <w:t xml:space="preserve"> </w:t>
      </w:r>
      <w:r w:rsidRPr="00DE5571">
        <w:rPr>
          <w:i/>
          <w:iCs/>
          <w:sz w:val="22"/>
          <w:szCs w:val="22"/>
        </w:rPr>
        <w:t>pivotal,</w:t>
      </w:r>
      <w:r w:rsidR="00F31F57" w:rsidRPr="00DE5571">
        <w:rPr>
          <w:i/>
          <w:iCs/>
          <w:sz w:val="22"/>
          <w:szCs w:val="22"/>
        </w:rPr>
        <w:t xml:space="preserve"> </w:t>
      </w:r>
      <w:r w:rsidRPr="00DE5571">
        <w:rPr>
          <w:i/>
          <w:iCs/>
          <w:sz w:val="22"/>
          <w:szCs w:val="22"/>
        </w:rPr>
        <w:t xml:space="preserve">phase 3 studies (Studies </w:t>
      </w:r>
      <w:r w:rsidR="005C7868">
        <w:rPr>
          <w:i/>
          <w:iCs/>
          <w:sz w:val="22"/>
          <w:szCs w:val="22"/>
        </w:rPr>
        <w:t>A and B</w:t>
      </w:r>
      <w:r w:rsidRPr="00DE5571">
        <w:rPr>
          <w:i/>
          <w:iCs/>
          <w:sz w:val="22"/>
          <w:szCs w:val="22"/>
        </w:rPr>
        <w:t>) are sufficient to</w:t>
      </w:r>
      <w:r w:rsidR="00F31F57" w:rsidRPr="00DE5571">
        <w:rPr>
          <w:i/>
          <w:iCs/>
          <w:sz w:val="22"/>
          <w:szCs w:val="22"/>
        </w:rPr>
        <w:t xml:space="preserve"> </w:t>
      </w:r>
      <w:r w:rsidRPr="00DE5571">
        <w:rPr>
          <w:i/>
          <w:iCs/>
          <w:sz w:val="22"/>
          <w:szCs w:val="22"/>
        </w:rPr>
        <w:t>support product registration for</w:t>
      </w:r>
      <w:r w:rsidR="00F31F57" w:rsidRPr="00DE5571">
        <w:rPr>
          <w:i/>
          <w:iCs/>
          <w:sz w:val="22"/>
          <w:szCs w:val="22"/>
        </w:rPr>
        <w:t xml:space="preserve"> </w:t>
      </w:r>
      <w:r w:rsidRPr="00DE5571">
        <w:rPr>
          <w:i/>
          <w:iCs/>
          <w:sz w:val="22"/>
          <w:szCs w:val="22"/>
        </w:rPr>
        <w:t xml:space="preserve">prophylaxis of episodic migraine headache in adults? </w:t>
      </w:r>
    </w:p>
    <w:p w14:paraId="691EA7BA" w14:textId="77777777" w:rsidR="00F12875" w:rsidRPr="00DE5571" w:rsidRDefault="00F12875" w:rsidP="00F12875">
      <w:pPr>
        <w:spacing w:after="0" w:line="240" w:lineRule="auto"/>
        <w:rPr>
          <w:i/>
          <w:iCs/>
          <w:color w:val="2F5496" w:themeColor="accent1" w:themeShade="BF"/>
          <w:sz w:val="22"/>
          <w:szCs w:val="22"/>
        </w:rPr>
      </w:pPr>
      <w:r w:rsidRPr="00DE5571">
        <w:rPr>
          <w:i/>
          <w:iCs/>
          <w:color w:val="2F5496" w:themeColor="accent1" w:themeShade="BF"/>
          <w:sz w:val="22"/>
          <w:szCs w:val="22"/>
        </w:rPr>
        <w:lastRenderedPageBreak/>
        <w:t>FDA Response:</w:t>
      </w:r>
    </w:p>
    <w:p w14:paraId="3166BD09" w14:textId="24276DDE" w:rsidR="00F12875" w:rsidRPr="00DE5571" w:rsidRDefault="00F12875" w:rsidP="006907CE">
      <w:pPr>
        <w:spacing w:after="0" w:line="240" w:lineRule="auto"/>
        <w:rPr>
          <w:i/>
          <w:iCs/>
          <w:color w:val="2F5496" w:themeColor="accent1" w:themeShade="BF"/>
          <w:sz w:val="22"/>
          <w:szCs w:val="22"/>
        </w:rPr>
      </w:pPr>
      <w:r w:rsidRPr="00DE5571">
        <w:rPr>
          <w:i/>
          <w:iCs/>
          <w:color w:val="2F5496" w:themeColor="accent1" w:themeShade="BF"/>
          <w:sz w:val="22"/>
          <w:szCs w:val="22"/>
        </w:rPr>
        <w:t xml:space="preserve">On face, the proposed phase 3 studies (Studies </w:t>
      </w:r>
      <w:r w:rsidR="005C7868">
        <w:rPr>
          <w:i/>
          <w:iCs/>
          <w:color w:val="2F5496" w:themeColor="accent1" w:themeShade="BF"/>
          <w:sz w:val="22"/>
          <w:szCs w:val="22"/>
        </w:rPr>
        <w:t>A</w:t>
      </w:r>
      <w:r w:rsidRPr="00DE5571">
        <w:rPr>
          <w:i/>
          <w:iCs/>
          <w:color w:val="2F5496" w:themeColor="accent1" w:themeShade="BF"/>
          <w:sz w:val="22"/>
          <w:szCs w:val="22"/>
        </w:rPr>
        <w:t xml:space="preserve"> and </w:t>
      </w:r>
      <w:r w:rsidR="005C7868">
        <w:rPr>
          <w:i/>
          <w:iCs/>
          <w:color w:val="2F5496" w:themeColor="accent1" w:themeShade="BF"/>
          <w:sz w:val="22"/>
          <w:szCs w:val="22"/>
        </w:rPr>
        <w:t>B</w:t>
      </w:r>
      <w:r w:rsidRPr="00DE5571">
        <w:rPr>
          <w:i/>
          <w:iCs/>
          <w:color w:val="2F5496" w:themeColor="accent1" w:themeShade="BF"/>
          <w:sz w:val="22"/>
          <w:szCs w:val="22"/>
        </w:rPr>
        <w:t>) appear adequate to</w:t>
      </w:r>
      <w:r w:rsidR="00A33951" w:rsidRPr="00DE5571">
        <w:rPr>
          <w:i/>
          <w:iCs/>
          <w:color w:val="2F5496" w:themeColor="accent1" w:themeShade="BF"/>
          <w:sz w:val="22"/>
          <w:szCs w:val="22"/>
        </w:rPr>
        <w:t xml:space="preserve"> </w:t>
      </w:r>
      <w:r w:rsidRPr="00DE5571">
        <w:rPr>
          <w:i/>
          <w:iCs/>
          <w:color w:val="2F5496" w:themeColor="accent1" w:themeShade="BF"/>
          <w:sz w:val="22"/>
          <w:szCs w:val="22"/>
        </w:rPr>
        <w:t>support product registration for prophylaxis of episodic migraine headache in adults. However,</w:t>
      </w:r>
      <w:r w:rsidR="00A33951" w:rsidRPr="00DE5571">
        <w:rPr>
          <w:i/>
          <w:iCs/>
          <w:color w:val="2F5496" w:themeColor="accent1" w:themeShade="BF"/>
          <w:sz w:val="22"/>
          <w:szCs w:val="22"/>
        </w:rPr>
        <w:t xml:space="preserve"> </w:t>
      </w:r>
      <w:r w:rsidRPr="00DE5571">
        <w:rPr>
          <w:i/>
          <w:iCs/>
          <w:color w:val="2F5496" w:themeColor="accent1" w:themeShade="BF"/>
          <w:sz w:val="22"/>
          <w:szCs w:val="22"/>
        </w:rPr>
        <w:t>we note that your completed study in episodic migraineurs (</w:t>
      </w:r>
      <w:r w:rsidR="005C7868">
        <w:rPr>
          <w:i/>
          <w:iCs/>
          <w:color w:val="2F5496" w:themeColor="accent1" w:themeShade="BF"/>
          <w:sz w:val="22"/>
          <w:szCs w:val="22"/>
        </w:rPr>
        <w:t xml:space="preserve">Phase 2 </w:t>
      </w:r>
      <w:r w:rsidRPr="00DE5571">
        <w:rPr>
          <w:i/>
          <w:iCs/>
          <w:color w:val="2F5496" w:themeColor="accent1" w:themeShade="BF"/>
          <w:sz w:val="22"/>
          <w:szCs w:val="22"/>
        </w:rPr>
        <w:t>Study) has many of the</w:t>
      </w:r>
      <w:r w:rsidR="00A33951" w:rsidRPr="00DE5571">
        <w:rPr>
          <w:i/>
          <w:iCs/>
          <w:color w:val="2F5496" w:themeColor="accent1" w:themeShade="BF"/>
          <w:sz w:val="22"/>
          <w:szCs w:val="22"/>
        </w:rPr>
        <w:t xml:space="preserve"> </w:t>
      </w:r>
      <w:r w:rsidRPr="00DE5571">
        <w:rPr>
          <w:i/>
          <w:iCs/>
          <w:color w:val="2F5496" w:themeColor="accent1" w:themeShade="BF"/>
          <w:sz w:val="22"/>
          <w:szCs w:val="22"/>
        </w:rPr>
        <w:t>characteristics of an</w:t>
      </w:r>
      <w:r w:rsidR="00A33951" w:rsidRPr="00DE5571">
        <w:rPr>
          <w:i/>
          <w:iCs/>
          <w:color w:val="2F5496" w:themeColor="accent1" w:themeShade="BF"/>
          <w:sz w:val="22"/>
          <w:szCs w:val="22"/>
        </w:rPr>
        <w:t xml:space="preserve"> </w:t>
      </w:r>
      <w:r w:rsidRPr="00DE5571">
        <w:rPr>
          <w:i/>
          <w:iCs/>
          <w:color w:val="2F5496" w:themeColor="accent1" w:themeShade="BF"/>
          <w:sz w:val="22"/>
          <w:szCs w:val="22"/>
        </w:rPr>
        <w:t>adequate and well-controlled pivotal efficacy trial. We are open to an</w:t>
      </w:r>
      <w:r w:rsidR="00A33951" w:rsidRPr="00DE5571">
        <w:rPr>
          <w:i/>
          <w:iCs/>
          <w:color w:val="2F5496" w:themeColor="accent1" w:themeShade="BF"/>
          <w:sz w:val="22"/>
          <w:szCs w:val="22"/>
        </w:rPr>
        <w:t xml:space="preserve"> </w:t>
      </w:r>
      <w:r w:rsidRPr="00DE5571">
        <w:rPr>
          <w:i/>
          <w:iCs/>
          <w:color w:val="2F5496" w:themeColor="accent1" w:themeShade="BF"/>
          <w:sz w:val="22"/>
          <w:szCs w:val="22"/>
        </w:rPr>
        <w:t>argument</w:t>
      </w:r>
      <w:r w:rsidR="006907CE" w:rsidRPr="00DE5571">
        <w:rPr>
          <w:i/>
          <w:iCs/>
          <w:sz w:val="22"/>
          <w:szCs w:val="22"/>
        </w:rPr>
        <w:t xml:space="preserve"> </w:t>
      </w:r>
      <w:r w:rsidR="006907CE" w:rsidRPr="00DE5571">
        <w:rPr>
          <w:i/>
          <w:iCs/>
          <w:color w:val="2F5496" w:themeColor="accent1" w:themeShade="BF"/>
          <w:sz w:val="22"/>
          <w:szCs w:val="22"/>
        </w:rPr>
        <w:t>that the results of that study could also support a marketing application for your</w:t>
      </w:r>
      <w:r w:rsidR="00A33951" w:rsidRPr="00DE5571">
        <w:rPr>
          <w:i/>
          <w:iCs/>
          <w:color w:val="2F5496" w:themeColor="accent1" w:themeShade="BF"/>
          <w:sz w:val="22"/>
          <w:szCs w:val="22"/>
        </w:rPr>
        <w:t xml:space="preserve"> </w:t>
      </w:r>
      <w:r w:rsidR="006907CE" w:rsidRPr="00DE5571">
        <w:rPr>
          <w:i/>
          <w:iCs/>
          <w:color w:val="2F5496" w:themeColor="accent1" w:themeShade="BF"/>
          <w:sz w:val="22"/>
          <w:szCs w:val="22"/>
        </w:rPr>
        <w:t>product.</w:t>
      </w:r>
    </w:p>
    <w:p w14:paraId="7C6154FB" w14:textId="4E094F0E" w:rsidR="00317101" w:rsidRPr="00DE5571" w:rsidRDefault="00317101" w:rsidP="00324026">
      <w:pPr>
        <w:spacing w:after="0"/>
        <w:rPr>
          <w:sz w:val="22"/>
          <w:szCs w:val="22"/>
        </w:rPr>
      </w:pPr>
    </w:p>
    <w:p w14:paraId="066E057D" w14:textId="6230AAE7" w:rsidR="00645C48" w:rsidRPr="007D7AD5" w:rsidRDefault="001555BD">
      <w:pPr>
        <w:rPr>
          <w:sz w:val="22"/>
          <w:szCs w:val="22"/>
        </w:rPr>
      </w:pPr>
      <w:r w:rsidRPr="00DE5571">
        <w:rPr>
          <w:sz w:val="22"/>
          <w:szCs w:val="22"/>
        </w:rPr>
        <w:t xml:space="preserve">You will now work through a scenario building on this encouraging feedback by exploring </w:t>
      </w:r>
      <w:r w:rsidR="00A66734" w:rsidRPr="00DE5571">
        <w:rPr>
          <w:sz w:val="22"/>
          <w:szCs w:val="22"/>
        </w:rPr>
        <w:t xml:space="preserve">how </w:t>
      </w:r>
      <w:r w:rsidRPr="00DE5571">
        <w:rPr>
          <w:sz w:val="22"/>
          <w:szCs w:val="22"/>
        </w:rPr>
        <w:t xml:space="preserve">data from a </w:t>
      </w:r>
      <w:r w:rsidR="00DC0C97" w:rsidRPr="00DE5571">
        <w:rPr>
          <w:sz w:val="22"/>
          <w:szCs w:val="22"/>
        </w:rPr>
        <w:t>completed Phase 2 study can be incorporated</w:t>
      </w:r>
      <w:r w:rsidR="00DC0C97" w:rsidRPr="002234FF">
        <w:rPr>
          <w:sz w:val="22"/>
          <w:szCs w:val="22"/>
        </w:rPr>
        <w:t xml:space="preserve"> into an analysis of Study </w:t>
      </w:r>
      <w:r w:rsidR="00A66734">
        <w:rPr>
          <w:sz w:val="22"/>
          <w:szCs w:val="22"/>
        </w:rPr>
        <w:t>B</w:t>
      </w:r>
      <w:r w:rsidR="00DC0C97" w:rsidRPr="002234FF">
        <w:rPr>
          <w:sz w:val="22"/>
          <w:szCs w:val="22"/>
        </w:rPr>
        <w:t xml:space="preserve"> as a historical control.</w:t>
      </w:r>
    </w:p>
    <w:p w14:paraId="3E7E2902" w14:textId="0B2E332D" w:rsidR="00AF550D" w:rsidRPr="002234FF" w:rsidRDefault="00443A50">
      <w:pPr>
        <w:rPr>
          <w:sz w:val="28"/>
          <w:szCs w:val="28"/>
          <w:u w:val="single"/>
        </w:rPr>
      </w:pPr>
      <w:r w:rsidRPr="002234FF">
        <w:rPr>
          <w:sz w:val="28"/>
          <w:szCs w:val="28"/>
          <w:u w:val="single"/>
        </w:rPr>
        <w:t>Phase 3 Design</w:t>
      </w:r>
      <w:r w:rsidR="004A7E09">
        <w:rPr>
          <w:sz w:val="28"/>
          <w:szCs w:val="28"/>
          <w:u w:val="single"/>
        </w:rPr>
        <w:t xml:space="preserve"> (Study B)</w:t>
      </w:r>
    </w:p>
    <w:p w14:paraId="4BC3DC08" w14:textId="510D9EF4" w:rsidR="00E64327" w:rsidRPr="002234FF" w:rsidRDefault="00FC37B6" w:rsidP="00440E33">
      <w:pPr>
        <w:spacing w:after="0" w:line="240" w:lineRule="auto"/>
        <w:rPr>
          <w:sz w:val="22"/>
          <w:szCs w:val="22"/>
        </w:rPr>
      </w:pPr>
      <w:r w:rsidRPr="002234FF">
        <w:rPr>
          <w:sz w:val="22"/>
          <w:szCs w:val="22"/>
        </w:rPr>
        <w:t xml:space="preserve">The primary objective of this trial is to evaluate </w:t>
      </w:r>
      <w:r w:rsidR="00E64327" w:rsidRPr="002234FF">
        <w:rPr>
          <w:sz w:val="22"/>
          <w:szCs w:val="22"/>
        </w:rPr>
        <w:t xml:space="preserve">change from baseline in mean </w:t>
      </w:r>
      <w:r w:rsidR="00440E33">
        <w:rPr>
          <w:sz w:val="22"/>
          <w:szCs w:val="22"/>
        </w:rPr>
        <w:t>MMD</w:t>
      </w:r>
      <w:r w:rsidR="00E64327" w:rsidRPr="002234FF">
        <w:rPr>
          <w:sz w:val="22"/>
          <w:szCs w:val="22"/>
        </w:rPr>
        <w:t xml:space="preserve"> in subjects with EM.</w:t>
      </w:r>
      <w:r w:rsidR="00815131" w:rsidRPr="002234FF">
        <w:rPr>
          <w:sz w:val="22"/>
          <w:szCs w:val="22"/>
        </w:rPr>
        <w:t xml:space="preserve">  T</w:t>
      </w:r>
      <w:r w:rsidR="00E64327" w:rsidRPr="002234FF">
        <w:rPr>
          <w:sz w:val="22"/>
          <w:szCs w:val="22"/>
        </w:rPr>
        <w:t xml:space="preserve">his </w:t>
      </w:r>
      <w:r w:rsidR="00815131" w:rsidRPr="002234FF">
        <w:rPr>
          <w:sz w:val="22"/>
          <w:szCs w:val="22"/>
        </w:rPr>
        <w:t>i</w:t>
      </w:r>
      <w:r w:rsidR="00E64327" w:rsidRPr="002234FF">
        <w:rPr>
          <w:sz w:val="22"/>
          <w:szCs w:val="22"/>
        </w:rPr>
        <w:t>s a phase 3, multicenter, randomized, double-blind, placebo-controlled, parallel group</w:t>
      </w:r>
      <w:r w:rsidR="00815131" w:rsidRPr="002234FF">
        <w:rPr>
          <w:sz w:val="22"/>
          <w:szCs w:val="22"/>
        </w:rPr>
        <w:t xml:space="preserve"> </w:t>
      </w:r>
      <w:r w:rsidR="00E64327" w:rsidRPr="002234FF">
        <w:rPr>
          <w:sz w:val="22"/>
          <w:szCs w:val="22"/>
        </w:rPr>
        <w:t>study of subjects with EM.</w:t>
      </w:r>
      <w:r w:rsidR="00440E33">
        <w:rPr>
          <w:sz w:val="22"/>
          <w:szCs w:val="22"/>
        </w:rPr>
        <w:t xml:space="preserve">  </w:t>
      </w:r>
      <w:r w:rsidR="00E64327" w:rsidRPr="002234FF">
        <w:rPr>
          <w:sz w:val="22"/>
          <w:szCs w:val="22"/>
        </w:rPr>
        <w:t>Eligible subjects identified in the screening phase commence a 4-week baseline</w:t>
      </w:r>
      <w:r w:rsidR="00815131" w:rsidRPr="002234FF">
        <w:rPr>
          <w:sz w:val="22"/>
          <w:szCs w:val="22"/>
        </w:rPr>
        <w:t xml:space="preserve"> </w:t>
      </w:r>
      <w:r w:rsidR="00E64327" w:rsidRPr="002234FF">
        <w:rPr>
          <w:sz w:val="22"/>
          <w:szCs w:val="22"/>
        </w:rPr>
        <w:t>phase</w:t>
      </w:r>
      <w:r w:rsidR="008921D4">
        <w:rPr>
          <w:sz w:val="22"/>
          <w:szCs w:val="22"/>
        </w:rPr>
        <w:t xml:space="preserve"> a</w:t>
      </w:r>
      <w:r w:rsidR="00E64327" w:rsidRPr="002234FF">
        <w:rPr>
          <w:sz w:val="22"/>
          <w:szCs w:val="22"/>
        </w:rPr>
        <w:t xml:space="preserve">fter </w:t>
      </w:r>
      <w:r w:rsidR="008921D4">
        <w:rPr>
          <w:sz w:val="22"/>
          <w:szCs w:val="22"/>
        </w:rPr>
        <w:t xml:space="preserve">which </w:t>
      </w:r>
      <w:r w:rsidR="00E64327" w:rsidRPr="002234FF">
        <w:rPr>
          <w:sz w:val="22"/>
          <w:szCs w:val="22"/>
        </w:rPr>
        <w:t xml:space="preserve">eligible subjects </w:t>
      </w:r>
      <w:r w:rsidR="008921D4">
        <w:rPr>
          <w:sz w:val="22"/>
          <w:szCs w:val="22"/>
        </w:rPr>
        <w:t>a</w:t>
      </w:r>
      <w:r w:rsidR="00E64327" w:rsidRPr="002234FF">
        <w:rPr>
          <w:sz w:val="22"/>
          <w:szCs w:val="22"/>
        </w:rPr>
        <w:t>re randomized in a 1:1 ratio to receive</w:t>
      </w:r>
      <w:r w:rsidR="00815131" w:rsidRPr="002234FF">
        <w:rPr>
          <w:sz w:val="22"/>
          <w:szCs w:val="22"/>
        </w:rPr>
        <w:t xml:space="preserve"> </w:t>
      </w:r>
      <w:r w:rsidR="00E64327" w:rsidRPr="002234FF">
        <w:rPr>
          <w:sz w:val="22"/>
          <w:szCs w:val="22"/>
        </w:rPr>
        <w:t>placebo</w:t>
      </w:r>
      <w:r w:rsidR="00645C48">
        <w:rPr>
          <w:sz w:val="22"/>
          <w:szCs w:val="22"/>
        </w:rPr>
        <w:t xml:space="preserve"> or </w:t>
      </w:r>
      <w:r w:rsidR="00E41AE2" w:rsidRPr="002234FF">
        <w:rPr>
          <w:sz w:val="22"/>
          <w:szCs w:val="22"/>
        </w:rPr>
        <w:t xml:space="preserve">NEWTRT </w:t>
      </w:r>
      <w:r w:rsidR="00377D84">
        <w:rPr>
          <w:sz w:val="22"/>
          <w:szCs w:val="22"/>
        </w:rPr>
        <w:t>DOSE_3</w:t>
      </w:r>
      <w:r w:rsidR="00E41AE2" w:rsidRPr="002234FF">
        <w:rPr>
          <w:sz w:val="22"/>
          <w:szCs w:val="22"/>
        </w:rPr>
        <w:t xml:space="preserve"> </w:t>
      </w:r>
      <w:r w:rsidR="00E64327" w:rsidRPr="002234FF">
        <w:rPr>
          <w:sz w:val="22"/>
          <w:szCs w:val="22"/>
        </w:rPr>
        <w:t>for the duration of the 12-week</w:t>
      </w:r>
      <w:r w:rsidR="001F7676" w:rsidRPr="002234FF">
        <w:rPr>
          <w:sz w:val="22"/>
          <w:szCs w:val="22"/>
        </w:rPr>
        <w:t xml:space="preserve"> </w:t>
      </w:r>
      <w:r w:rsidR="00E64327" w:rsidRPr="002234FF">
        <w:rPr>
          <w:sz w:val="22"/>
          <w:szCs w:val="22"/>
        </w:rPr>
        <w:t xml:space="preserve">double-blind treatment phase. </w:t>
      </w:r>
      <w:r w:rsidR="001F7676" w:rsidRPr="002234FF">
        <w:rPr>
          <w:sz w:val="22"/>
          <w:szCs w:val="22"/>
        </w:rPr>
        <w:t xml:space="preserve"> R</w:t>
      </w:r>
      <w:r w:rsidR="00E64327" w:rsidRPr="002234FF">
        <w:rPr>
          <w:sz w:val="22"/>
          <w:szCs w:val="22"/>
        </w:rPr>
        <w:t xml:space="preserve">andomization </w:t>
      </w:r>
      <w:r w:rsidR="001F7676" w:rsidRPr="002234FF">
        <w:rPr>
          <w:sz w:val="22"/>
          <w:szCs w:val="22"/>
        </w:rPr>
        <w:t>i</w:t>
      </w:r>
      <w:r w:rsidR="00E64327" w:rsidRPr="002234FF">
        <w:rPr>
          <w:sz w:val="22"/>
          <w:szCs w:val="22"/>
        </w:rPr>
        <w:t xml:space="preserve">s stratified by region (North America or ‘Other’) and treatment status with migraine </w:t>
      </w:r>
      <w:r w:rsidR="001F7676" w:rsidRPr="002234FF">
        <w:rPr>
          <w:sz w:val="22"/>
          <w:szCs w:val="22"/>
        </w:rPr>
        <w:t>p</w:t>
      </w:r>
      <w:r w:rsidR="00E64327" w:rsidRPr="002234FF">
        <w:rPr>
          <w:sz w:val="22"/>
          <w:szCs w:val="22"/>
        </w:rPr>
        <w:t>rophylactic medication (prior only,</w:t>
      </w:r>
      <w:r w:rsidR="001F7676" w:rsidRPr="002234FF">
        <w:rPr>
          <w:sz w:val="22"/>
          <w:szCs w:val="22"/>
        </w:rPr>
        <w:t xml:space="preserve"> </w:t>
      </w:r>
      <w:r w:rsidR="00E64327" w:rsidRPr="002234FF">
        <w:rPr>
          <w:sz w:val="22"/>
          <w:szCs w:val="22"/>
        </w:rPr>
        <w:t>current, or neither prior nor current).</w:t>
      </w:r>
    </w:p>
    <w:p w14:paraId="53A925E3" w14:textId="77777777" w:rsidR="001F7676" w:rsidRPr="002234FF" w:rsidRDefault="001F7676" w:rsidP="00E64327">
      <w:pPr>
        <w:autoSpaceDE w:val="0"/>
        <w:autoSpaceDN w:val="0"/>
        <w:adjustRightInd w:val="0"/>
        <w:spacing w:after="0" w:line="240" w:lineRule="auto"/>
        <w:rPr>
          <w:sz w:val="22"/>
          <w:szCs w:val="22"/>
        </w:rPr>
      </w:pPr>
    </w:p>
    <w:p w14:paraId="7A67028C" w14:textId="62FB277E" w:rsidR="00E64327" w:rsidRPr="002234FF" w:rsidRDefault="00E64327" w:rsidP="00BA6258">
      <w:pPr>
        <w:autoSpaceDE w:val="0"/>
        <w:autoSpaceDN w:val="0"/>
        <w:adjustRightInd w:val="0"/>
        <w:spacing w:after="0" w:line="240" w:lineRule="auto"/>
        <w:rPr>
          <w:sz w:val="22"/>
          <w:szCs w:val="22"/>
        </w:rPr>
      </w:pPr>
      <w:r w:rsidRPr="002234FF">
        <w:rPr>
          <w:sz w:val="22"/>
          <w:szCs w:val="22"/>
        </w:rPr>
        <w:t xml:space="preserve">Eligible subjects </w:t>
      </w:r>
      <w:r w:rsidR="001F7676" w:rsidRPr="002234FF">
        <w:rPr>
          <w:sz w:val="22"/>
          <w:szCs w:val="22"/>
        </w:rPr>
        <w:t>a</w:t>
      </w:r>
      <w:r w:rsidRPr="002234FF">
        <w:rPr>
          <w:sz w:val="22"/>
          <w:szCs w:val="22"/>
        </w:rPr>
        <w:t>re adults 18 to 65 years of age with history of migraine with or without aura</w:t>
      </w:r>
      <w:r w:rsidR="001F7676" w:rsidRPr="002234FF">
        <w:rPr>
          <w:sz w:val="22"/>
          <w:szCs w:val="22"/>
        </w:rPr>
        <w:t xml:space="preserve"> </w:t>
      </w:r>
      <w:r w:rsidRPr="002234FF">
        <w:rPr>
          <w:sz w:val="22"/>
          <w:szCs w:val="22"/>
        </w:rPr>
        <w:t>for ≥ 12 months who experienced &gt;= 4 to &lt; 15 migraine days per month with &lt; 15 headache</w:t>
      </w:r>
      <w:r w:rsidR="00BA6258" w:rsidRPr="002234FF">
        <w:rPr>
          <w:sz w:val="22"/>
          <w:szCs w:val="22"/>
        </w:rPr>
        <w:t xml:space="preserve"> </w:t>
      </w:r>
      <w:r w:rsidRPr="002234FF">
        <w:rPr>
          <w:sz w:val="22"/>
          <w:szCs w:val="22"/>
        </w:rPr>
        <w:t>days per month, on average across the 3 months prior to screening</w:t>
      </w:r>
    </w:p>
    <w:p w14:paraId="45CA9711" w14:textId="77777777" w:rsidR="004D2F0B" w:rsidRPr="002234FF" w:rsidRDefault="004D2F0B" w:rsidP="00E64327">
      <w:pPr>
        <w:autoSpaceDE w:val="0"/>
        <w:autoSpaceDN w:val="0"/>
        <w:adjustRightInd w:val="0"/>
        <w:spacing w:after="0" w:line="240" w:lineRule="auto"/>
        <w:rPr>
          <w:sz w:val="22"/>
          <w:szCs w:val="22"/>
        </w:rPr>
      </w:pPr>
    </w:p>
    <w:p w14:paraId="4C2088CB" w14:textId="48512CA0" w:rsidR="00CE2D67" w:rsidRDefault="00E64327" w:rsidP="004D2F0B">
      <w:pPr>
        <w:autoSpaceDE w:val="0"/>
        <w:autoSpaceDN w:val="0"/>
        <w:adjustRightInd w:val="0"/>
        <w:spacing w:after="0" w:line="240" w:lineRule="auto"/>
        <w:rPr>
          <w:sz w:val="22"/>
          <w:szCs w:val="22"/>
        </w:rPr>
      </w:pPr>
      <w:r w:rsidRPr="002234FF">
        <w:rPr>
          <w:sz w:val="22"/>
          <w:szCs w:val="22"/>
        </w:rPr>
        <w:t xml:space="preserve">The primary endpoint for this study </w:t>
      </w:r>
      <w:r w:rsidR="004D2F0B" w:rsidRPr="002234FF">
        <w:rPr>
          <w:sz w:val="22"/>
          <w:szCs w:val="22"/>
        </w:rPr>
        <w:t>i</w:t>
      </w:r>
      <w:r w:rsidRPr="002234FF">
        <w:rPr>
          <w:sz w:val="22"/>
          <w:szCs w:val="22"/>
        </w:rPr>
        <w:t>s the change in MMD from</w:t>
      </w:r>
      <w:r w:rsidR="004D2F0B" w:rsidRPr="002234FF">
        <w:rPr>
          <w:sz w:val="22"/>
          <w:szCs w:val="22"/>
        </w:rPr>
        <w:t xml:space="preserve"> </w:t>
      </w:r>
      <w:r w:rsidRPr="002234FF">
        <w:rPr>
          <w:sz w:val="22"/>
          <w:szCs w:val="22"/>
        </w:rPr>
        <w:t>baseline to the last month of the 12-week double-blind treatment phase</w:t>
      </w:r>
      <w:r w:rsidRPr="00A63F73">
        <w:rPr>
          <w:sz w:val="22"/>
          <w:szCs w:val="22"/>
        </w:rPr>
        <w:t>.</w:t>
      </w:r>
      <w:r w:rsidR="00D91C83" w:rsidRPr="00A63F73">
        <w:rPr>
          <w:sz w:val="22"/>
          <w:szCs w:val="22"/>
        </w:rPr>
        <w:t xml:space="preserve"> Approximately 540 eligible subjects (270/arm) are required </w:t>
      </w:r>
      <w:r w:rsidR="00645C48">
        <w:rPr>
          <w:sz w:val="22"/>
          <w:szCs w:val="22"/>
        </w:rPr>
        <w:t>for the study to achieve 90% power (1-sided alpha = 0.025).</w:t>
      </w:r>
      <w:r w:rsidR="00D91C83" w:rsidRPr="00A63F73">
        <w:rPr>
          <w:sz w:val="22"/>
          <w:szCs w:val="22"/>
        </w:rPr>
        <w:t xml:space="preserve">  </w:t>
      </w:r>
    </w:p>
    <w:p w14:paraId="28C91B86" w14:textId="2FF425CB" w:rsidR="001C7B73" w:rsidRDefault="001C7B73" w:rsidP="004D2F0B">
      <w:pPr>
        <w:autoSpaceDE w:val="0"/>
        <w:autoSpaceDN w:val="0"/>
        <w:adjustRightInd w:val="0"/>
        <w:spacing w:after="0" w:line="240" w:lineRule="auto"/>
        <w:rPr>
          <w:sz w:val="22"/>
          <w:szCs w:val="22"/>
        </w:rPr>
      </w:pPr>
    </w:p>
    <w:p w14:paraId="14F55E01" w14:textId="63347035" w:rsidR="00E64327" w:rsidRPr="002234FF" w:rsidRDefault="001C7B73" w:rsidP="004D2F0B">
      <w:pPr>
        <w:autoSpaceDE w:val="0"/>
        <w:autoSpaceDN w:val="0"/>
        <w:adjustRightInd w:val="0"/>
        <w:spacing w:after="0" w:line="240" w:lineRule="auto"/>
        <w:rPr>
          <w:sz w:val="22"/>
          <w:szCs w:val="22"/>
        </w:rPr>
      </w:pPr>
      <w:r>
        <w:rPr>
          <w:sz w:val="22"/>
          <w:szCs w:val="22"/>
        </w:rPr>
        <w:t xml:space="preserve">While feasibility should not be an issue when conducting studies in episodic migraine, given this is a placebo-controlled study and high-quality historical data is available, it appears attractive to move away from 1:1 randomization by utilizing the historical data. </w:t>
      </w:r>
    </w:p>
    <w:p w14:paraId="2B3556A6" w14:textId="3849E2DD" w:rsidR="00F232B3" w:rsidRPr="002234FF" w:rsidRDefault="00F232B3" w:rsidP="004D2F0B">
      <w:pPr>
        <w:autoSpaceDE w:val="0"/>
        <w:autoSpaceDN w:val="0"/>
        <w:adjustRightInd w:val="0"/>
        <w:spacing w:after="0" w:line="240" w:lineRule="auto"/>
        <w:rPr>
          <w:sz w:val="22"/>
          <w:szCs w:val="22"/>
        </w:rPr>
      </w:pPr>
    </w:p>
    <w:p w14:paraId="059119D8" w14:textId="299C3B45" w:rsidR="00F232B3" w:rsidRPr="00670335" w:rsidRDefault="00F232B3" w:rsidP="00670335">
      <w:pPr>
        <w:rPr>
          <w:sz w:val="28"/>
          <w:szCs w:val="28"/>
          <w:u w:val="single"/>
        </w:rPr>
      </w:pPr>
      <w:r w:rsidRPr="00670335">
        <w:rPr>
          <w:sz w:val="28"/>
          <w:szCs w:val="28"/>
          <w:u w:val="single"/>
        </w:rPr>
        <w:t>Proposed Development Program</w:t>
      </w:r>
    </w:p>
    <w:p w14:paraId="5B257A74" w14:textId="4CDF3815" w:rsidR="00BD04C4" w:rsidRDefault="00F232B3" w:rsidP="004D2F0B">
      <w:pPr>
        <w:autoSpaceDE w:val="0"/>
        <w:autoSpaceDN w:val="0"/>
        <w:adjustRightInd w:val="0"/>
        <w:spacing w:after="0" w:line="240" w:lineRule="auto"/>
        <w:rPr>
          <w:sz w:val="22"/>
          <w:szCs w:val="22"/>
        </w:rPr>
      </w:pPr>
      <w:r w:rsidRPr="002234FF">
        <w:rPr>
          <w:sz w:val="22"/>
          <w:szCs w:val="22"/>
        </w:rPr>
        <w:t>The Sponsor proposes that</w:t>
      </w:r>
      <w:r w:rsidR="00674774" w:rsidRPr="002234FF">
        <w:rPr>
          <w:sz w:val="22"/>
          <w:szCs w:val="22"/>
        </w:rPr>
        <w:t xml:space="preserve"> the package to support regulatory submission w</w:t>
      </w:r>
      <w:r w:rsidR="00151787">
        <w:rPr>
          <w:sz w:val="22"/>
          <w:szCs w:val="22"/>
        </w:rPr>
        <w:t>ill</w:t>
      </w:r>
      <w:r w:rsidR="00674774" w:rsidRPr="002234FF">
        <w:rPr>
          <w:sz w:val="22"/>
          <w:szCs w:val="22"/>
        </w:rPr>
        <w:t xml:space="preserve"> include </w:t>
      </w:r>
      <w:r w:rsidR="00411FA0" w:rsidRPr="00291223">
        <w:rPr>
          <w:b/>
          <w:bCs/>
          <w:sz w:val="22"/>
          <w:szCs w:val="22"/>
        </w:rPr>
        <w:t>two pivotal trials</w:t>
      </w:r>
      <w:r w:rsidR="00411FA0" w:rsidRPr="002234FF">
        <w:rPr>
          <w:sz w:val="22"/>
          <w:szCs w:val="22"/>
        </w:rPr>
        <w:t xml:space="preserve">. The first is </w:t>
      </w:r>
      <w:r w:rsidR="00674774" w:rsidRPr="002234FF">
        <w:rPr>
          <w:sz w:val="22"/>
          <w:szCs w:val="22"/>
        </w:rPr>
        <w:t xml:space="preserve">Study </w:t>
      </w:r>
      <w:r w:rsidR="00151787">
        <w:rPr>
          <w:sz w:val="22"/>
          <w:szCs w:val="22"/>
        </w:rPr>
        <w:t>A</w:t>
      </w:r>
      <w:r w:rsidR="00674774" w:rsidRPr="002234FF">
        <w:rPr>
          <w:sz w:val="22"/>
          <w:szCs w:val="22"/>
        </w:rPr>
        <w:t xml:space="preserve"> </w:t>
      </w:r>
      <w:r w:rsidR="00291223">
        <w:rPr>
          <w:sz w:val="22"/>
          <w:szCs w:val="22"/>
        </w:rPr>
        <w:t xml:space="preserve">(which will not be enriched with historical control data) </w:t>
      </w:r>
      <w:r w:rsidR="00674774" w:rsidRPr="002234FF">
        <w:rPr>
          <w:sz w:val="22"/>
          <w:szCs w:val="22"/>
        </w:rPr>
        <w:t xml:space="preserve">and </w:t>
      </w:r>
      <w:r w:rsidR="00411FA0" w:rsidRPr="002234FF">
        <w:rPr>
          <w:sz w:val="22"/>
          <w:szCs w:val="22"/>
        </w:rPr>
        <w:t xml:space="preserve">the second is a </w:t>
      </w:r>
      <w:r w:rsidR="00674774" w:rsidRPr="002234FF">
        <w:rPr>
          <w:sz w:val="22"/>
          <w:szCs w:val="22"/>
        </w:rPr>
        <w:t xml:space="preserve">Study </w:t>
      </w:r>
      <w:r w:rsidR="00151787">
        <w:rPr>
          <w:sz w:val="22"/>
          <w:szCs w:val="22"/>
        </w:rPr>
        <w:t>B</w:t>
      </w:r>
      <w:r w:rsidR="00735AD5" w:rsidRPr="002234FF">
        <w:rPr>
          <w:sz w:val="22"/>
          <w:szCs w:val="22"/>
        </w:rPr>
        <w:t xml:space="preserve"> includ</w:t>
      </w:r>
      <w:r w:rsidR="002B75AB">
        <w:rPr>
          <w:sz w:val="22"/>
          <w:szCs w:val="22"/>
        </w:rPr>
        <w:t>ing</w:t>
      </w:r>
      <w:r w:rsidR="00735AD5" w:rsidRPr="002234FF">
        <w:rPr>
          <w:sz w:val="22"/>
          <w:szCs w:val="22"/>
        </w:rPr>
        <w:t xml:space="preserve"> </w:t>
      </w:r>
      <w:r w:rsidR="00411FA0" w:rsidRPr="002234FF">
        <w:rPr>
          <w:sz w:val="22"/>
          <w:szCs w:val="22"/>
        </w:rPr>
        <w:t xml:space="preserve">control group data from </w:t>
      </w:r>
      <w:r w:rsidR="00151787">
        <w:rPr>
          <w:sz w:val="22"/>
          <w:szCs w:val="22"/>
        </w:rPr>
        <w:t xml:space="preserve">the </w:t>
      </w:r>
      <w:r w:rsidR="00411FA0" w:rsidRPr="002234FF">
        <w:rPr>
          <w:sz w:val="22"/>
          <w:szCs w:val="22"/>
        </w:rPr>
        <w:t>Phase 2 stud</w:t>
      </w:r>
      <w:r w:rsidR="00151787">
        <w:rPr>
          <w:sz w:val="22"/>
          <w:szCs w:val="22"/>
        </w:rPr>
        <w:t>y</w:t>
      </w:r>
      <w:r w:rsidR="0006382B" w:rsidRPr="002234FF">
        <w:rPr>
          <w:sz w:val="22"/>
          <w:szCs w:val="22"/>
        </w:rPr>
        <w:t>.</w:t>
      </w:r>
    </w:p>
    <w:p w14:paraId="1FDE5058" w14:textId="77777777" w:rsidR="000507F8" w:rsidRDefault="000507F8" w:rsidP="004D2F0B">
      <w:pPr>
        <w:autoSpaceDE w:val="0"/>
        <w:autoSpaceDN w:val="0"/>
        <w:adjustRightInd w:val="0"/>
        <w:spacing w:after="0" w:line="240" w:lineRule="auto"/>
        <w:rPr>
          <w:sz w:val="22"/>
          <w:szCs w:val="22"/>
        </w:rPr>
      </w:pPr>
    </w:p>
    <w:p w14:paraId="32FE8CE6" w14:textId="64BB4293" w:rsidR="00BD04C4" w:rsidRDefault="00B37F0B" w:rsidP="00CD2C98">
      <w:pPr>
        <w:rPr>
          <w:sz w:val="22"/>
          <w:szCs w:val="22"/>
          <w:u w:val="single"/>
        </w:rPr>
      </w:pPr>
      <w:r>
        <w:rPr>
          <w:sz w:val="28"/>
          <w:szCs w:val="28"/>
          <w:u w:val="single"/>
        </w:rPr>
        <w:t xml:space="preserve">Revised study </w:t>
      </w:r>
      <w:r w:rsidRPr="00A63F73">
        <w:rPr>
          <w:sz w:val="28"/>
          <w:szCs w:val="28"/>
          <w:u w:val="single"/>
        </w:rPr>
        <w:t>proposal (</w:t>
      </w:r>
      <w:r w:rsidR="005E6604" w:rsidRPr="00A63F73">
        <w:rPr>
          <w:sz w:val="28"/>
          <w:szCs w:val="28"/>
          <w:u w:val="single"/>
        </w:rPr>
        <w:t>breakout session</w:t>
      </w:r>
      <w:r w:rsidRPr="00A63F73">
        <w:rPr>
          <w:sz w:val="28"/>
          <w:szCs w:val="28"/>
          <w:u w:val="single"/>
        </w:rPr>
        <w:t>)</w:t>
      </w:r>
    </w:p>
    <w:p w14:paraId="3FD40722" w14:textId="2941C119" w:rsidR="00E82E0D" w:rsidRPr="0058330F" w:rsidRDefault="0058330F" w:rsidP="0058330F">
      <w:pPr>
        <w:pStyle w:val="ListParagraph"/>
        <w:numPr>
          <w:ilvl w:val="0"/>
          <w:numId w:val="7"/>
        </w:numPr>
        <w:rPr>
          <w:sz w:val="22"/>
          <w:szCs w:val="22"/>
        </w:rPr>
      </w:pPr>
      <w:r>
        <w:rPr>
          <w:sz w:val="22"/>
          <w:szCs w:val="22"/>
        </w:rPr>
        <w:t>T</w:t>
      </w:r>
      <w:r w:rsidR="00236F35" w:rsidRPr="0058330F">
        <w:rPr>
          <w:sz w:val="22"/>
          <w:szCs w:val="22"/>
        </w:rPr>
        <w:t>he assumptions underlying the originally planned study B are provided below. Briefly confirm within your team that this is an adequately planned pivotal study.</w:t>
      </w:r>
    </w:p>
    <w:p w14:paraId="6AD3225F" w14:textId="77E060E6" w:rsidR="00F400E8" w:rsidRDefault="00F400E8" w:rsidP="00F400E8">
      <w:pPr>
        <w:pStyle w:val="ListParagraph"/>
        <w:numPr>
          <w:ilvl w:val="0"/>
          <w:numId w:val="6"/>
        </w:numPr>
        <w:rPr>
          <w:sz w:val="22"/>
          <w:szCs w:val="22"/>
        </w:rPr>
      </w:pPr>
      <w:r w:rsidRPr="00F400E8">
        <w:rPr>
          <w:sz w:val="22"/>
          <w:szCs w:val="22"/>
        </w:rPr>
        <w:t>Standard deviation</w:t>
      </w:r>
      <w:r>
        <w:rPr>
          <w:sz w:val="22"/>
          <w:szCs w:val="22"/>
        </w:rPr>
        <w:t xml:space="preserve"> (for change from baseline, within-arm): 3.78 (based on ph 2 data)</w:t>
      </w:r>
    </w:p>
    <w:p w14:paraId="75F24B17" w14:textId="56C2D200" w:rsidR="00F400E8" w:rsidRDefault="00F400E8" w:rsidP="00F400E8">
      <w:pPr>
        <w:pStyle w:val="ListParagraph"/>
        <w:numPr>
          <w:ilvl w:val="0"/>
          <w:numId w:val="6"/>
        </w:numPr>
        <w:rPr>
          <w:sz w:val="22"/>
          <w:szCs w:val="22"/>
        </w:rPr>
      </w:pPr>
      <w:r>
        <w:rPr>
          <w:sz w:val="22"/>
          <w:szCs w:val="22"/>
        </w:rPr>
        <w:t>True treatment effect (alternative) to power the study: -1.12</w:t>
      </w:r>
      <w:r w:rsidR="00993890">
        <w:rPr>
          <w:sz w:val="22"/>
          <w:szCs w:val="22"/>
        </w:rPr>
        <w:t xml:space="preserve"> (based on ph 2 data)</w:t>
      </w:r>
    </w:p>
    <w:p w14:paraId="54658349" w14:textId="53599919" w:rsidR="00F400E8" w:rsidRDefault="00F400E8" w:rsidP="00F400E8">
      <w:pPr>
        <w:pStyle w:val="ListParagraph"/>
        <w:numPr>
          <w:ilvl w:val="0"/>
          <w:numId w:val="6"/>
        </w:numPr>
        <w:rPr>
          <w:sz w:val="22"/>
          <w:szCs w:val="22"/>
        </w:rPr>
      </w:pPr>
      <w:r>
        <w:rPr>
          <w:sz w:val="22"/>
          <w:szCs w:val="22"/>
        </w:rPr>
        <w:t>Power: 90%</w:t>
      </w:r>
    </w:p>
    <w:p w14:paraId="2F533F3B" w14:textId="7E7962BA" w:rsidR="00F400E8" w:rsidRDefault="00F400E8" w:rsidP="00F400E8">
      <w:pPr>
        <w:pStyle w:val="ListParagraph"/>
        <w:numPr>
          <w:ilvl w:val="0"/>
          <w:numId w:val="6"/>
        </w:numPr>
        <w:rPr>
          <w:sz w:val="22"/>
          <w:szCs w:val="22"/>
        </w:rPr>
      </w:pPr>
      <w:r w:rsidRPr="00F400E8">
        <w:rPr>
          <w:sz w:val="22"/>
          <w:szCs w:val="22"/>
        </w:rPr>
        <w:t>2-sided α=0.05</w:t>
      </w:r>
    </w:p>
    <w:p w14:paraId="11CD750E" w14:textId="0C4206AF" w:rsidR="00F400E8" w:rsidRPr="00F400E8" w:rsidRDefault="00F400E8" w:rsidP="00F400E8">
      <w:pPr>
        <w:pStyle w:val="ListParagraph"/>
        <w:numPr>
          <w:ilvl w:val="0"/>
          <w:numId w:val="6"/>
        </w:numPr>
        <w:rPr>
          <w:sz w:val="22"/>
          <w:szCs w:val="22"/>
        </w:rPr>
      </w:pPr>
      <w:r>
        <w:rPr>
          <w:sz w:val="22"/>
          <w:szCs w:val="22"/>
        </w:rPr>
        <w:t>10% drop-out rate assumed</w:t>
      </w:r>
    </w:p>
    <w:p w14:paraId="67F1A0E3" w14:textId="60D6332C" w:rsidR="008B2C08" w:rsidRDefault="008B2C08" w:rsidP="00CD2C98">
      <w:pPr>
        <w:rPr>
          <w:sz w:val="22"/>
          <w:szCs w:val="22"/>
        </w:rPr>
      </w:pPr>
    </w:p>
    <w:p w14:paraId="11B9F012" w14:textId="77777777" w:rsidR="000518BC" w:rsidRDefault="000518BC" w:rsidP="000518BC">
      <w:pPr>
        <w:pStyle w:val="SourceCode"/>
      </w:pPr>
      <w:r>
        <w:rPr>
          <w:rStyle w:val="NormalTok"/>
        </w:rPr>
        <w:lastRenderedPageBreak/>
        <w:t xml:space="preserve">sigma_ref </w:t>
      </w:r>
      <w:r>
        <w:rPr>
          <w:rStyle w:val="OtherTok"/>
        </w:rPr>
        <w:t>&lt;-</w:t>
      </w:r>
      <w:r>
        <w:rPr>
          <w:rStyle w:val="NormalTok"/>
        </w:rPr>
        <w:t xml:space="preserve"> </w:t>
      </w:r>
      <w:r>
        <w:rPr>
          <w:rStyle w:val="FloatTok"/>
        </w:rPr>
        <w:t>3.78</w:t>
      </w:r>
      <w:r>
        <w:br/>
      </w:r>
      <w:r>
        <w:rPr>
          <w:rStyle w:val="NormalTok"/>
        </w:rPr>
        <w:t xml:space="preserve">pwr.Ph3B </w:t>
      </w:r>
      <w:r>
        <w:rPr>
          <w:rStyle w:val="OtherTok"/>
        </w:rPr>
        <w:t>&lt;-</w:t>
      </w:r>
      <w:r>
        <w:rPr>
          <w:rStyle w:val="NormalTok"/>
        </w:rPr>
        <w:t xml:space="preserve"> </w:t>
      </w:r>
      <w:r>
        <w:rPr>
          <w:rStyle w:val="FunctionTok"/>
        </w:rPr>
        <w:t>power.t.test</w:t>
      </w:r>
      <w:r>
        <w:rPr>
          <w:rStyle w:val="NormalTok"/>
        </w:rPr>
        <w:t>(</w:t>
      </w:r>
      <w:r>
        <w:rPr>
          <w:rStyle w:val="AttributeTok"/>
        </w:rPr>
        <w:t>n =</w:t>
      </w:r>
      <w:r>
        <w:rPr>
          <w:rStyle w:val="NormalTok"/>
        </w:rPr>
        <w:t xml:space="preserve"> </w:t>
      </w:r>
      <w:r>
        <w:rPr>
          <w:rStyle w:val="ConstantTok"/>
        </w:rPr>
        <w:t>NULL</w:t>
      </w:r>
      <w:r>
        <w:rPr>
          <w:rStyle w:val="NormalTok"/>
        </w:rPr>
        <w:t xml:space="preserve">, </w:t>
      </w:r>
      <w:r>
        <w:rPr>
          <w:rStyle w:val="AttributeTok"/>
        </w:rPr>
        <w:t>delta =</w:t>
      </w:r>
      <w:r>
        <w:rPr>
          <w:rStyle w:val="NormalTok"/>
        </w:rPr>
        <w:t xml:space="preserve"> </w:t>
      </w:r>
      <w:r>
        <w:rPr>
          <w:rStyle w:val="SpecialCharTok"/>
        </w:rPr>
        <w:t>-</w:t>
      </w:r>
      <w:r>
        <w:rPr>
          <w:rStyle w:val="FloatTok"/>
        </w:rPr>
        <w:t>1.12</w:t>
      </w:r>
      <w:r>
        <w:rPr>
          <w:rStyle w:val="NormalTok"/>
        </w:rPr>
        <w:t xml:space="preserve">, </w:t>
      </w:r>
      <w:r>
        <w:rPr>
          <w:rStyle w:val="AttributeTok"/>
        </w:rPr>
        <w:t>sd =</w:t>
      </w:r>
      <w:r>
        <w:rPr>
          <w:rStyle w:val="NormalTok"/>
        </w:rPr>
        <w:t xml:space="preserve"> sigma_ref, </w:t>
      </w:r>
      <w:r>
        <w:rPr>
          <w:rStyle w:val="AttributeTok"/>
        </w:rPr>
        <w:t>sig.level =</w:t>
      </w:r>
      <w:r>
        <w:rPr>
          <w:rStyle w:val="NormalTok"/>
        </w:rPr>
        <w:t xml:space="preserve"> </w:t>
      </w:r>
      <w:r>
        <w:rPr>
          <w:rStyle w:val="FloatTok"/>
        </w:rPr>
        <w:t>0.05</w:t>
      </w:r>
      <w:r>
        <w:rPr>
          <w:rStyle w:val="NormalTok"/>
        </w:rPr>
        <w:t xml:space="preserve">, </w:t>
      </w:r>
      <w:r>
        <w:rPr>
          <w:rStyle w:val="AttributeTok"/>
        </w:rPr>
        <w:t>power =</w:t>
      </w:r>
      <w:r>
        <w:rPr>
          <w:rStyle w:val="NormalTok"/>
        </w:rPr>
        <w:t xml:space="preserve"> </w:t>
      </w:r>
      <w:r>
        <w:rPr>
          <w:rStyle w:val="FloatTok"/>
        </w:rPr>
        <w:t>0.9</w:t>
      </w:r>
      <w:r>
        <w:rPr>
          <w:rStyle w:val="NormalTok"/>
        </w:rPr>
        <w:t xml:space="preserve">, </w:t>
      </w:r>
      <w:r>
        <w:rPr>
          <w:rStyle w:val="AttributeTok"/>
        </w:rPr>
        <w:t>alternative =</w:t>
      </w:r>
      <w:r>
        <w:rPr>
          <w:rStyle w:val="NormalTok"/>
        </w:rPr>
        <w:t xml:space="preserve"> </w:t>
      </w:r>
      <w:r>
        <w:rPr>
          <w:rStyle w:val="StringTok"/>
        </w:rPr>
        <w:t>"two.sided"</w:t>
      </w:r>
      <w:r>
        <w:rPr>
          <w:rStyle w:val="NormalTok"/>
        </w:rPr>
        <w:t>)</w:t>
      </w:r>
      <w:r>
        <w:br/>
      </w:r>
      <w:r>
        <w:rPr>
          <w:rStyle w:val="NormalTok"/>
        </w:rPr>
        <w:t xml:space="preserve">n.per.group.fas </w:t>
      </w:r>
      <w:r>
        <w:rPr>
          <w:rStyle w:val="OtherTok"/>
        </w:rPr>
        <w:t>&lt;-</w:t>
      </w:r>
      <w:r>
        <w:rPr>
          <w:rStyle w:val="NormalTok"/>
        </w:rPr>
        <w:t xml:space="preserve"> </w:t>
      </w:r>
      <w:r>
        <w:rPr>
          <w:rStyle w:val="FunctionTok"/>
        </w:rPr>
        <w:t>ceiling</w:t>
      </w:r>
      <w:r>
        <w:rPr>
          <w:rStyle w:val="NormalTok"/>
        </w:rPr>
        <w:t>(pwr.Ph3B</w:t>
      </w:r>
      <w:r>
        <w:rPr>
          <w:rStyle w:val="SpecialCharTok"/>
        </w:rPr>
        <w:t>$</w:t>
      </w:r>
      <w:r>
        <w:rPr>
          <w:rStyle w:val="NormalTok"/>
        </w:rPr>
        <w:t>n)</w:t>
      </w:r>
      <w:r>
        <w:br/>
      </w:r>
      <w:r>
        <w:rPr>
          <w:rStyle w:val="NormalTok"/>
        </w:rPr>
        <w:t xml:space="preserve">n.per.group.calc </w:t>
      </w:r>
      <w:r>
        <w:rPr>
          <w:rStyle w:val="OtherTok"/>
        </w:rPr>
        <w:t>&lt;-</w:t>
      </w:r>
      <w:r>
        <w:rPr>
          <w:rStyle w:val="NormalTok"/>
        </w:rPr>
        <w:t xml:space="preserve"> </w:t>
      </w:r>
      <w:r>
        <w:rPr>
          <w:rStyle w:val="FunctionTok"/>
        </w:rPr>
        <w:t>ceiling</w:t>
      </w:r>
      <w:r>
        <w:rPr>
          <w:rStyle w:val="NormalTok"/>
        </w:rPr>
        <w:t>(n.per.group.fas</w:t>
      </w:r>
      <w:r>
        <w:rPr>
          <w:rStyle w:val="SpecialCharTok"/>
        </w:rPr>
        <w:t>/</w:t>
      </w:r>
      <w:r>
        <w:rPr>
          <w:rStyle w:val="FloatTok"/>
        </w:rPr>
        <w:t>0.9</w:t>
      </w:r>
      <w:r>
        <w:rPr>
          <w:rStyle w:val="NormalTok"/>
        </w:rPr>
        <w:t>)</w:t>
      </w:r>
      <w:r>
        <w:br/>
      </w:r>
      <w:r>
        <w:br/>
      </w:r>
      <w:r>
        <w:rPr>
          <w:rStyle w:val="NormalTok"/>
        </w:rPr>
        <w:t>pwr.Ph3B</w:t>
      </w:r>
    </w:p>
    <w:p w14:paraId="253B9FFB" w14:textId="77777777" w:rsidR="000518BC" w:rsidRDefault="000518BC" w:rsidP="000518BC">
      <w:pPr>
        <w:pStyle w:val="SourceCode"/>
      </w:pPr>
      <w:r>
        <w:rPr>
          <w:rStyle w:val="VerbatimChar"/>
        </w:rPr>
        <w:t xml:space="preserve">## </w:t>
      </w:r>
      <w:r>
        <w:br/>
      </w:r>
      <w:r>
        <w:rPr>
          <w:rStyle w:val="VerbatimChar"/>
        </w:rPr>
        <w:t xml:space="preserve">##      Two-sample t test power calculation </w:t>
      </w:r>
      <w:r>
        <w:br/>
      </w:r>
      <w:r>
        <w:rPr>
          <w:rStyle w:val="VerbatimChar"/>
        </w:rPr>
        <w:t xml:space="preserve">## </w:t>
      </w:r>
      <w:r>
        <w:br/>
      </w:r>
      <w:r>
        <w:rPr>
          <w:rStyle w:val="VerbatimChar"/>
        </w:rPr>
        <w:t>##               n = 240.3367</w:t>
      </w:r>
      <w:r>
        <w:br/>
      </w:r>
      <w:r>
        <w:rPr>
          <w:rStyle w:val="VerbatimChar"/>
        </w:rPr>
        <w:t>##           delta = 1.12</w:t>
      </w:r>
      <w:r>
        <w:br/>
      </w:r>
      <w:r>
        <w:rPr>
          <w:rStyle w:val="VerbatimChar"/>
        </w:rPr>
        <w:t>##              sd = 3.78</w:t>
      </w:r>
      <w:r>
        <w:br/>
      </w:r>
      <w:r>
        <w:rPr>
          <w:rStyle w:val="VerbatimChar"/>
        </w:rPr>
        <w:t>##       sig.level = 0.05</w:t>
      </w:r>
      <w:r>
        <w:br/>
      </w:r>
      <w:r>
        <w:rPr>
          <w:rStyle w:val="VerbatimChar"/>
        </w:rPr>
        <w:t>##           power = 0.9</w:t>
      </w:r>
      <w:r>
        <w:br/>
      </w:r>
      <w:r>
        <w:rPr>
          <w:rStyle w:val="VerbatimChar"/>
        </w:rPr>
        <w:t>##     alternative = two.sided</w:t>
      </w:r>
      <w:r>
        <w:br/>
      </w:r>
      <w:r>
        <w:rPr>
          <w:rStyle w:val="VerbatimChar"/>
        </w:rPr>
        <w:t xml:space="preserve">## </w:t>
      </w:r>
      <w:r>
        <w:br/>
      </w:r>
      <w:r>
        <w:rPr>
          <w:rStyle w:val="VerbatimChar"/>
        </w:rPr>
        <w:t>## NOTE: n is number in *each* group</w:t>
      </w:r>
    </w:p>
    <w:p w14:paraId="7B7537EC" w14:textId="77777777" w:rsidR="000518BC" w:rsidRDefault="000518BC" w:rsidP="000518BC">
      <w:pPr>
        <w:pStyle w:val="SourceCode"/>
      </w:pPr>
      <w:r>
        <w:rPr>
          <w:rStyle w:val="NormalTok"/>
        </w:rPr>
        <w:t>n.per.group.fas</w:t>
      </w:r>
    </w:p>
    <w:p w14:paraId="5AEF4D79" w14:textId="77777777" w:rsidR="000518BC" w:rsidRDefault="000518BC" w:rsidP="000518BC">
      <w:pPr>
        <w:pStyle w:val="SourceCode"/>
      </w:pPr>
      <w:r>
        <w:rPr>
          <w:rStyle w:val="VerbatimChar"/>
        </w:rPr>
        <w:t>## [1] 241</w:t>
      </w:r>
    </w:p>
    <w:p w14:paraId="297BF4CC" w14:textId="77777777" w:rsidR="000518BC" w:rsidRDefault="000518BC" w:rsidP="000518BC">
      <w:pPr>
        <w:pStyle w:val="SourceCode"/>
      </w:pPr>
      <w:r>
        <w:rPr>
          <w:rStyle w:val="NormalTok"/>
        </w:rPr>
        <w:t>n.per.group.calc</w:t>
      </w:r>
    </w:p>
    <w:p w14:paraId="136B07C9" w14:textId="77777777" w:rsidR="000518BC" w:rsidRDefault="000518BC" w:rsidP="000518BC">
      <w:pPr>
        <w:pStyle w:val="SourceCode"/>
      </w:pPr>
      <w:r>
        <w:rPr>
          <w:rStyle w:val="VerbatimChar"/>
        </w:rPr>
        <w:t>## [1] 268</w:t>
      </w:r>
    </w:p>
    <w:p w14:paraId="0C165D0D" w14:textId="77777777" w:rsidR="000518BC" w:rsidRDefault="000518BC" w:rsidP="000518BC">
      <w:pPr>
        <w:pStyle w:val="SourceCode"/>
      </w:pPr>
      <w:r>
        <w:rPr>
          <w:rStyle w:val="CommentTok"/>
        </w:rPr>
        <w:t># as per FDA docs</w:t>
      </w:r>
      <w:r>
        <w:br/>
      </w:r>
      <w:r>
        <w:rPr>
          <w:rStyle w:val="NormalTok"/>
        </w:rPr>
        <w:t xml:space="preserve">n.per.group </w:t>
      </w:r>
      <w:r>
        <w:rPr>
          <w:rStyle w:val="OtherTok"/>
        </w:rPr>
        <w:t>&lt;-</w:t>
      </w:r>
      <w:r>
        <w:rPr>
          <w:rStyle w:val="NormalTok"/>
        </w:rPr>
        <w:t xml:space="preserve"> </w:t>
      </w:r>
      <w:r>
        <w:rPr>
          <w:rStyle w:val="DecValTok"/>
        </w:rPr>
        <w:t>270</w:t>
      </w:r>
    </w:p>
    <w:p w14:paraId="1476196C" w14:textId="77777777" w:rsidR="000518BC" w:rsidRDefault="000518BC" w:rsidP="00CD2C98">
      <w:pPr>
        <w:rPr>
          <w:sz w:val="22"/>
          <w:szCs w:val="22"/>
        </w:rPr>
      </w:pPr>
    </w:p>
    <w:p w14:paraId="70291360" w14:textId="77777777" w:rsidR="005B626C" w:rsidRDefault="005B626C">
      <w:pPr>
        <w:rPr>
          <w:sz w:val="22"/>
          <w:szCs w:val="22"/>
        </w:rPr>
      </w:pPr>
      <w:r>
        <w:rPr>
          <w:sz w:val="22"/>
          <w:szCs w:val="22"/>
        </w:rPr>
        <w:br w:type="page"/>
      </w:r>
    </w:p>
    <w:p w14:paraId="2C298909" w14:textId="3079C050" w:rsidR="00EC722B" w:rsidRDefault="00EC722B" w:rsidP="00EC722B">
      <w:pPr>
        <w:pStyle w:val="ListParagraph"/>
        <w:numPr>
          <w:ilvl w:val="0"/>
          <w:numId w:val="7"/>
        </w:numPr>
        <w:rPr>
          <w:sz w:val="22"/>
          <w:szCs w:val="22"/>
        </w:rPr>
      </w:pPr>
      <w:r>
        <w:rPr>
          <w:sz w:val="22"/>
          <w:szCs w:val="22"/>
        </w:rPr>
        <w:lastRenderedPageBreak/>
        <w:t>You now build a robust mixture prior for the control group</w:t>
      </w:r>
      <w:r w:rsidR="00462E92">
        <w:rPr>
          <w:sz w:val="22"/>
          <w:szCs w:val="22"/>
        </w:rPr>
        <w:t>. This robust mixture prior consists of two components:</w:t>
      </w:r>
      <w:r>
        <w:rPr>
          <w:sz w:val="22"/>
          <w:szCs w:val="22"/>
        </w:rPr>
        <w:t xml:space="preserve"> </w:t>
      </w:r>
    </w:p>
    <w:p w14:paraId="1A85E9D2" w14:textId="208F2410" w:rsidR="00EC722B" w:rsidRDefault="00462E92" w:rsidP="00EC722B">
      <w:pPr>
        <w:pStyle w:val="ListParagraph"/>
        <w:numPr>
          <w:ilvl w:val="1"/>
          <w:numId w:val="7"/>
        </w:numPr>
        <w:rPr>
          <w:sz w:val="22"/>
          <w:szCs w:val="22"/>
        </w:rPr>
      </w:pPr>
      <w:r>
        <w:rPr>
          <w:sz w:val="22"/>
          <w:szCs w:val="22"/>
        </w:rPr>
        <w:t>Component 1: t</w:t>
      </w:r>
      <w:r w:rsidR="00EC722B">
        <w:rPr>
          <w:sz w:val="22"/>
          <w:szCs w:val="22"/>
        </w:rPr>
        <w:t xml:space="preserve">he posterior </w:t>
      </w:r>
      <w:r>
        <w:rPr>
          <w:sz w:val="22"/>
          <w:szCs w:val="22"/>
        </w:rPr>
        <w:t xml:space="preserve">based on </w:t>
      </w:r>
      <w:r w:rsidR="00EC722B">
        <w:rPr>
          <w:sz w:val="22"/>
          <w:szCs w:val="22"/>
        </w:rPr>
        <w:t>the phase 2</w:t>
      </w:r>
      <w:r>
        <w:rPr>
          <w:sz w:val="22"/>
          <w:szCs w:val="22"/>
        </w:rPr>
        <w:t xml:space="preserve"> data</w:t>
      </w:r>
    </w:p>
    <w:p w14:paraId="6CD4EAC1" w14:textId="3DCB5EEA" w:rsidR="00EC722B" w:rsidRDefault="00462E92" w:rsidP="00EC722B">
      <w:pPr>
        <w:pStyle w:val="ListParagraph"/>
        <w:numPr>
          <w:ilvl w:val="1"/>
          <w:numId w:val="7"/>
        </w:numPr>
        <w:rPr>
          <w:sz w:val="22"/>
          <w:szCs w:val="22"/>
          <w:lang w:val="fr-CH"/>
        </w:rPr>
      </w:pPr>
      <w:r>
        <w:rPr>
          <w:sz w:val="22"/>
          <w:szCs w:val="22"/>
          <w:lang w:val="fr-CH"/>
        </w:rPr>
        <w:t xml:space="preserve">Component 2 : </w:t>
      </w:r>
      <w:r w:rsidR="00EC722B" w:rsidRPr="00EC722B">
        <w:rPr>
          <w:sz w:val="22"/>
          <w:szCs w:val="22"/>
          <w:lang w:val="fr-CH"/>
        </w:rPr>
        <w:t>A vague (unit-information) p</w:t>
      </w:r>
      <w:r w:rsidR="00EC722B">
        <w:rPr>
          <w:sz w:val="22"/>
          <w:szCs w:val="22"/>
          <w:lang w:val="fr-CH"/>
        </w:rPr>
        <w:t>rior</w:t>
      </w:r>
    </w:p>
    <w:p w14:paraId="0A2DD336" w14:textId="40C588F6" w:rsidR="00462E92" w:rsidRDefault="00462E92" w:rsidP="00462E92">
      <w:pPr>
        <w:ind w:left="720"/>
        <w:rPr>
          <w:sz w:val="22"/>
          <w:szCs w:val="22"/>
        </w:rPr>
      </w:pPr>
      <w:r w:rsidRPr="00462E92">
        <w:rPr>
          <w:sz w:val="22"/>
          <w:szCs w:val="22"/>
        </w:rPr>
        <w:t>For explanation, the posterior b</w:t>
      </w:r>
      <w:r>
        <w:rPr>
          <w:sz w:val="22"/>
          <w:szCs w:val="22"/>
        </w:rPr>
        <w:t xml:space="preserve">ased on the phase 2 data is derived using a flat (improper) prior, i.e., it is a normal distribution with mean and standard deviation corresponding to the ones obtained from a stand-alone analysis of the phase 2 study. </w:t>
      </w:r>
    </w:p>
    <w:p w14:paraId="6F9686F7" w14:textId="308928B1" w:rsidR="00462E92" w:rsidRPr="00462E92" w:rsidRDefault="00462E92" w:rsidP="00462E92">
      <w:pPr>
        <w:ind w:left="720"/>
        <w:rPr>
          <w:sz w:val="22"/>
          <w:szCs w:val="22"/>
        </w:rPr>
      </w:pPr>
      <w:r>
        <w:rPr>
          <w:sz w:val="22"/>
          <w:szCs w:val="22"/>
        </w:rPr>
        <w:t>The unit-information prior is a normal distribution with standard deviation equal to “one unit of observation”, corresponding to 3.78 (which is the standard deviation for the change from baseline).</w:t>
      </w:r>
    </w:p>
    <w:p w14:paraId="5EB450B8" w14:textId="72186FF2" w:rsidR="005937BC" w:rsidRDefault="00EC722B" w:rsidP="00F24765">
      <w:pPr>
        <w:pStyle w:val="ListParagraph"/>
        <w:rPr>
          <w:sz w:val="22"/>
          <w:szCs w:val="22"/>
        </w:rPr>
      </w:pPr>
      <w:r>
        <w:rPr>
          <w:sz w:val="22"/>
          <w:szCs w:val="22"/>
        </w:rPr>
        <w:t xml:space="preserve">The mixture weights </w:t>
      </w:r>
      <w:r w:rsidR="00462E92">
        <w:rPr>
          <w:sz w:val="22"/>
          <w:szCs w:val="22"/>
        </w:rPr>
        <w:t>for the two components a</w:t>
      </w:r>
      <w:r>
        <w:rPr>
          <w:sz w:val="22"/>
          <w:szCs w:val="22"/>
        </w:rPr>
        <w:t xml:space="preserve">re </w:t>
      </w:r>
      <w:r w:rsidR="00F24765">
        <w:rPr>
          <w:sz w:val="22"/>
          <w:szCs w:val="22"/>
        </w:rPr>
        <w:t>80%</w:t>
      </w:r>
      <w:r>
        <w:rPr>
          <w:sz w:val="22"/>
          <w:szCs w:val="22"/>
        </w:rPr>
        <w:t xml:space="preserve"> and </w:t>
      </w:r>
      <w:r w:rsidR="00F24765">
        <w:rPr>
          <w:sz w:val="22"/>
          <w:szCs w:val="22"/>
        </w:rPr>
        <w:t>20%</w:t>
      </w:r>
      <w:r>
        <w:rPr>
          <w:sz w:val="22"/>
          <w:szCs w:val="22"/>
        </w:rPr>
        <w:t xml:space="preserve">, respectively. </w:t>
      </w:r>
      <w:r w:rsidR="00462E92">
        <w:rPr>
          <w:sz w:val="22"/>
          <w:szCs w:val="22"/>
        </w:rPr>
        <w:t xml:space="preserve">While the choice of the weights would require detailed justifications in practice, here we assume the above choice being adequate. </w:t>
      </w:r>
      <w:r w:rsidR="00834158">
        <w:rPr>
          <w:sz w:val="22"/>
          <w:szCs w:val="22"/>
        </w:rPr>
        <w:t>Prior summaries are give</w:t>
      </w:r>
      <w:r w:rsidR="00F01A7E">
        <w:rPr>
          <w:sz w:val="22"/>
          <w:szCs w:val="22"/>
        </w:rPr>
        <w:t xml:space="preserve">n </w:t>
      </w:r>
      <w:r w:rsidR="00834158">
        <w:rPr>
          <w:sz w:val="22"/>
          <w:szCs w:val="22"/>
        </w:rPr>
        <w:t xml:space="preserve">in the table below </w:t>
      </w:r>
      <w:r w:rsidR="00F01A7E">
        <w:rPr>
          <w:sz w:val="22"/>
          <w:szCs w:val="22"/>
        </w:rPr>
        <w:t>and in visual form (densities)</w:t>
      </w:r>
      <w:r w:rsidR="00834158">
        <w:rPr>
          <w:sz w:val="22"/>
          <w:szCs w:val="22"/>
        </w:rPr>
        <w:t>.</w:t>
      </w:r>
    </w:p>
    <w:p w14:paraId="6E08490F" w14:textId="4EE7A8C7" w:rsidR="005B626C" w:rsidRDefault="005B626C" w:rsidP="00F24765">
      <w:pPr>
        <w:pStyle w:val="ListParagraph"/>
        <w:rPr>
          <w:sz w:val="22"/>
          <w:szCs w:val="22"/>
        </w:rPr>
      </w:pPr>
    </w:p>
    <w:p w14:paraId="2842BC87" w14:textId="126BF95B" w:rsidR="005B626C" w:rsidRPr="005B626C" w:rsidRDefault="005B626C" w:rsidP="00F24765">
      <w:pPr>
        <w:pStyle w:val="ListParagraph"/>
        <w:rPr>
          <w:b/>
          <w:bCs/>
          <w:sz w:val="22"/>
          <w:szCs w:val="22"/>
        </w:rPr>
      </w:pPr>
      <w:r w:rsidRPr="005B626C">
        <w:rPr>
          <w:b/>
          <w:bCs/>
          <w:sz w:val="22"/>
          <w:szCs w:val="22"/>
        </w:rPr>
        <w:t>Table: prior for placebo mean change from baseline in MMD</w:t>
      </w:r>
    </w:p>
    <w:p w14:paraId="555C134D" w14:textId="485D5468" w:rsidR="00834158" w:rsidRDefault="00834158" w:rsidP="00F24765">
      <w:pPr>
        <w:pStyle w:val="ListParagraph"/>
        <w:rPr>
          <w:sz w:val="22"/>
          <w:szCs w:val="22"/>
        </w:rPr>
      </w:pPr>
    </w:p>
    <w:tbl>
      <w:tblPr>
        <w:tblStyle w:val="TableGrid"/>
        <w:tblW w:w="0" w:type="auto"/>
        <w:tblInd w:w="720" w:type="dxa"/>
        <w:tblLook w:val="04A0" w:firstRow="1" w:lastRow="0" w:firstColumn="1" w:lastColumn="0" w:noHBand="0" w:noVBand="1"/>
      </w:tblPr>
      <w:tblGrid>
        <w:gridCol w:w="1514"/>
        <w:gridCol w:w="1420"/>
        <w:gridCol w:w="1399"/>
        <w:gridCol w:w="1450"/>
        <w:gridCol w:w="1413"/>
        <w:gridCol w:w="1434"/>
      </w:tblGrid>
      <w:tr w:rsidR="00B96102" w14:paraId="3E6391EA" w14:textId="77777777" w:rsidTr="00B96102">
        <w:tc>
          <w:tcPr>
            <w:tcW w:w="1558" w:type="dxa"/>
          </w:tcPr>
          <w:p w14:paraId="28731DA5" w14:textId="77777777" w:rsidR="00B96102" w:rsidRDefault="00B96102" w:rsidP="00F24765">
            <w:pPr>
              <w:pStyle w:val="ListParagraph"/>
              <w:ind w:left="0"/>
              <w:rPr>
                <w:sz w:val="22"/>
                <w:szCs w:val="22"/>
              </w:rPr>
            </w:pPr>
          </w:p>
        </w:tc>
        <w:tc>
          <w:tcPr>
            <w:tcW w:w="1558" w:type="dxa"/>
          </w:tcPr>
          <w:p w14:paraId="634507F3" w14:textId="11ED22AC" w:rsidR="00B96102" w:rsidRDefault="00B96102" w:rsidP="00F24765">
            <w:pPr>
              <w:pStyle w:val="ListParagraph"/>
              <w:ind w:left="0"/>
              <w:rPr>
                <w:sz w:val="22"/>
                <w:szCs w:val="22"/>
              </w:rPr>
            </w:pPr>
            <w:r>
              <w:rPr>
                <w:sz w:val="22"/>
                <w:szCs w:val="22"/>
              </w:rPr>
              <w:t>Mean</w:t>
            </w:r>
          </w:p>
        </w:tc>
        <w:tc>
          <w:tcPr>
            <w:tcW w:w="1558" w:type="dxa"/>
          </w:tcPr>
          <w:p w14:paraId="6A4EDA47" w14:textId="2FB389D4" w:rsidR="00B96102" w:rsidRDefault="00B96102" w:rsidP="00F24765">
            <w:pPr>
              <w:pStyle w:val="ListParagraph"/>
              <w:ind w:left="0"/>
              <w:rPr>
                <w:sz w:val="22"/>
                <w:szCs w:val="22"/>
              </w:rPr>
            </w:pPr>
            <w:r>
              <w:rPr>
                <w:sz w:val="22"/>
                <w:szCs w:val="22"/>
              </w:rPr>
              <w:t>SD</w:t>
            </w:r>
          </w:p>
        </w:tc>
        <w:tc>
          <w:tcPr>
            <w:tcW w:w="1558" w:type="dxa"/>
          </w:tcPr>
          <w:p w14:paraId="6E18D04C" w14:textId="2532014C" w:rsidR="00B96102" w:rsidRDefault="00B96102" w:rsidP="00F24765">
            <w:pPr>
              <w:pStyle w:val="ListParagraph"/>
              <w:ind w:left="0"/>
              <w:rPr>
                <w:sz w:val="22"/>
                <w:szCs w:val="22"/>
              </w:rPr>
            </w:pPr>
            <w:r>
              <w:rPr>
                <w:sz w:val="22"/>
                <w:szCs w:val="22"/>
              </w:rPr>
              <w:t>Median</w:t>
            </w:r>
          </w:p>
        </w:tc>
        <w:tc>
          <w:tcPr>
            <w:tcW w:w="1559" w:type="dxa"/>
          </w:tcPr>
          <w:p w14:paraId="48FBF323" w14:textId="7C4F98A3" w:rsidR="00B96102" w:rsidRDefault="00B96102" w:rsidP="00F24765">
            <w:pPr>
              <w:pStyle w:val="ListParagraph"/>
              <w:ind w:left="0"/>
              <w:rPr>
                <w:sz w:val="22"/>
                <w:szCs w:val="22"/>
              </w:rPr>
            </w:pPr>
            <w:r>
              <w:rPr>
                <w:sz w:val="22"/>
                <w:szCs w:val="22"/>
              </w:rPr>
              <w:t>2.5%</w:t>
            </w:r>
          </w:p>
        </w:tc>
        <w:tc>
          <w:tcPr>
            <w:tcW w:w="1559" w:type="dxa"/>
          </w:tcPr>
          <w:p w14:paraId="04AB658D" w14:textId="37E89BEA" w:rsidR="00B96102" w:rsidRDefault="00B96102" w:rsidP="00F24765">
            <w:pPr>
              <w:pStyle w:val="ListParagraph"/>
              <w:ind w:left="0"/>
              <w:rPr>
                <w:sz w:val="22"/>
                <w:szCs w:val="22"/>
              </w:rPr>
            </w:pPr>
            <w:r>
              <w:rPr>
                <w:sz w:val="22"/>
                <w:szCs w:val="22"/>
              </w:rPr>
              <w:t>97.5%</w:t>
            </w:r>
          </w:p>
        </w:tc>
      </w:tr>
      <w:tr w:rsidR="00B96102" w14:paraId="5A645056" w14:textId="77777777" w:rsidTr="00B96102">
        <w:tc>
          <w:tcPr>
            <w:tcW w:w="1558" w:type="dxa"/>
          </w:tcPr>
          <w:p w14:paraId="0CE1809F" w14:textId="77A5112C" w:rsidR="00B96102" w:rsidRDefault="00B96102" w:rsidP="00F24765">
            <w:pPr>
              <w:pStyle w:val="ListParagraph"/>
              <w:ind w:left="0"/>
              <w:rPr>
                <w:sz w:val="22"/>
                <w:szCs w:val="22"/>
              </w:rPr>
            </w:pPr>
            <w:r>
              <w:rPr>
                <w:sz w:val="22"/>
                <w:szCs w:val="22"/>
              </w:rPr>
              <w:t>Informative</w:t>
            </w:r>
          </w:p>
        </w:tc>
        <w:tc>
          <w:tcPr>
            <w:tcW w:w="1558" w:type="dxa"/>
          </w:tcPr>
          <w:p w14:paraId="42101998" w14:textId="08D74354" w:rsidR="00B96102" w:rsidRDefault="00B96102" w:rsidP="00F24765">
            <w:pPr>
              <w:pStyle w:val="ListParagraph"/>
              <w:ind w:left="0"/>
              <w:rPr>
                <w:sz w:val="22"/>
                <w:szCs w:val="22"/>
              </w:rPr>
            </w:pPr>
            <w:r>
              <w:rPr>
                <w:sz w:val="22"/>
                <w:szCs w:val="22"/>
              </w:rPr>
              <w:t>-2.3</w:t>
            </w:r>
          </w:p>
        </w:tc>
        <w:tc>
          <w:tcPr>
            <w:tcW w:w="1558" w:type="dxa"/>
          </w:tcPr>
          <w:p w14:paraId="7EB2C125" w14:textId="0BA4D593" w:rsidR="00B96102" w:rsidRDefault="00B96102" w:rsidP="00F24765">
            <w:pPr>
              <w:pStyle w:val="ListParagraph"/>
              <w:ind w:left="0"/>
              <w:rPr>
                <w:sz w:val="22"/>
                <w:szCs w:val="22"/>
              </w:rPr>
            </w:pPr>
            <w:r>
              <w:rPr>
                <w:sz w:val="22"/>
                <w:szCs w:val="22"/>
              </w:rPr>
              <w:t>0.30</w:t>
            </w:r>
          </w:p>
        </w:tc>
        <w:tc>
          <w:tcPr>
            <w:tcW w:w="1558" w:type="dxa"/>
          </w:tcPr>
          <w:p w14:paraId="2AA89BFC" w14:textId="43DDD466" w:rsidR="00B96102" w:rsidRDefault="00B96102" w:rsidP="00F24765">
            <w:pPr>
              <w:pStyle w:val="ListParagraph"/>
              <w:ind w:left="0"/>
              <w:rPr>
                <w:sz w:val="22"/>
                <w:szCs w:val="22"/>
              </w:rPr>
            </w:pPr>
            <w:r>
              <w:rPr>
                <w:sz w:val="22"/>
                <w:szCs w:val="22"/>
              </w:rPr>
              <w:t>-2.3</w:t>
            </w:r>
          </w:p>
        </w:tc>
        <w:tc>
          <w:tcPr>
            <w:tcW w:w="1559" w:type="dxa"/>
          </w:tcPr>
          <w:p w14:paraId="2174C99F" w14:textId="5B408190" w:rsidR="00B96102" w:rsidRDefault="00B96102" w:rsidP="00F24765">
            <w:pPr>
              <w:pStyle w:val="ListParagraph"/>
              <w:ind w:left="0"/>
              <w:rPr>
                <w:sz w:val="22"/>
                <w:szCs w:val="22"/>
              </w:rPr>
            </w:pPr>
            <w:r>
              <w:rPr>
                <w:sz w:val="22"/>
                <w:szCs w:val="22"/>
              </w:rPr>
              <w:t>-2.90</w:t>
            </w:r>
          </w:p>
        </w:tc>
        <w:tc>
          <w:tcPr>
            <w:tcW w:w="1559" w:type="dxa"/>
          </w:tcPr>
          <w:p w14:paraId="18679FA6" w14:textId="27F5B4B1" w:rsidR="00B96102" w:rsidRDefault="00B96102" w:rsidP="00F24765">
            <w:pPr>
              <w:pStyle w:val="ListParagraph"/>
              <w:ind w:left="0"/>
              <w:rPr>
                <w:sz w:val="22"/>
                <w:szCs w:val="22"/>
              </w:rPr>
            </w:pPr>
            <w:r>
              <w:rPr>
                <w:sz w:val="22"/>
                <w:szCs w:val="22"/>
              </w:rPr>
              <w:t>-1.71</w:t>
            </w:r>
          </w:p>
        </w:tc>
      </w:tr>
      <w:tr w:rsidR="00B96102" w14:paraId="76478CD4" w14:textId="77777777" w:rsidTr="003B54EE">
        <w:trPr>
          <w:trHeight w:val="255"/>
        </w:trPr>
        <w:tc>
          <w:tcPr>
            <w:tcW w:w="1558" w:type="dxa"/>
          </w:tcPr>
          <w:p w14:paraId="556AD373" w14:textId="25DD9C44" w:rsidR="00B96102" w:rsidRDefault="00B96102" w:rsidP="00F24765">
            <w:pPr>
              <w:pStyle w:val="ListParagraph"/>
              <w:ind w:left="0"/>
              <w:rPr>
                <w:sz w:val="22"/>
                <w:szCs w:val="22"/>
              </w:rPr>
            </w:pPr>
            <w:r>
              <w:rPr>
                <w:sz w:val="22"/>
                <w:szCs w:val="22"/>
              </w:rPr>
              <w:t>Vague</w:t>
            </w:r>
          </w:p>
        </w:tc>
        <w:tc>
          <w:tcPr>
            <w:tcW w:w="1558" w:type="dxa"/>
          </w:tcPr>
          <w:p w14:paraId="7E3EC54E" w14:textId="5C434209" w:rsidR="00B96102" w:rsidRDefault="00B96102" w:rsidP="00F24765">
            <w:pPr>
              <w:pStyle w:val="ListParagraph"/>
              <w:ind w:left="0"/>
              <w:rPr>
                <w:sz w:val="22"/>
                <w:szCs w:val="22"/>
              </w:rPr>
            </w:pPr>
            <w:r>
              <w:rPr>
                <w:sz w:val="22"/>
                <w:szCs w:val="22"/>
              </w:rPr>
              <w:t>-2.3</w:t>
            </w:r>
          </w:p>
        </w:tc>
        <w:tc>
          <w:tcPr>
            <w:tcW w:w="1558" w:type="dxa"/>
          </w:tcPr>
          <w:p w14:paraId="49243C11" w14:textId="0A7F171C" w:rsidR="00B96102" w:rsidRDefault="00B96102" w:rsidP="00F24765">
            <w:pPr>
              <w:pStyle w:val="ListParagraph"/>
              <w:ind w:left="0"/>
              <w:rPr>
                <w:sz w:val="22"/>
                <w:szCs w:val="22"/>
              </w:rPr>
            </w:pPr>
            <w:r>
              <w:rPr>
                <w:sz w:val="22"/>
                <w:szCs w:val="22"/>
              </w:rPr>
              <w:t>3.78</w:t>
            </w:r>
          </w:p>
        </w:tc>
        <w:tc>
          <w:tcPr>
            <w:tcW w:w="1558" w:type="dxa"/>
          </w:tcPr>
          <w:p w14:paraId="0E214666" w14:textId="37F9636D" w:rsidR="00B96102" w:rsidRDefault="00B96102" w:rsidP="00F24765">
            <w:pPr>
              <w:pStyle w:val="ListParagraph"/>
              <w:ind w:left="0"/>
              <w:rPr>
                <w:sz w:val="22"/>
                <w:szCs w:val="22"/>
              </w:rPr>
            </w:pPr>
            <w:r>
              <w:rPr>
                <w:sz w:val="22"/>
                <w:szCs w:val="22"/>
              </w:rPr>
              <w:t>-2.3</w:t>
            </w:r>
          </w:p>
        </w:tc>
        <w:tc>
          <w:tcPr>
            <w:tcW w:w="1559" w:type="dxa"/>
          </w:tcPr>
          <w:p w14:paraId="2D9671F3" w14:textId="3C49739C" w:rsidR="00B96102" w:rsidRDefault="00B96102" w:rsidP="00F24765">
            <w:pPr>
              <w:pStyle w:val="ListParagraph"/>
              <w:ind w:left="0"/>
              <w:rPr>
                <w:sz w:val="22"/>
                <w:szCs w:val="22"/>
              </w:rPr>
            </w:pPr>
            <w:r>
              <w:rPr>
                <w:sz w:val="22"/>
                <w:szCs w:val="22"/>
              </w:rPr>
              <w:t>-9.81</w:t>
            </w:r>
          </w:p>
        </w:tc>
        <w:tc>
          <w:tcPr>
            <w:tcW w:w="1559" w:type="dxa"/>
          </w:tcPr>
          <w:p w14:paraId="7F9E4845" w14:textId="3C0253EB" w:rsidR="00B96102" w:rsidRDefault="00B96102" w:rsidP="00F24765">
            <w:pPr>
              <w:pStyle w:val="ListParagraph"/>
              <w:ind w:left="0"/>
              <w:rPr>
                <w:sz w:val="22"/>
                <w:szCs w:val="22"/>
              </w:rPr>
            </w:pPr>
            <w:r>
              <w:rPr>
                <w:sz w:val="22"/>
                <w:szCs w:val="22"/>
              </w:rPr>
              <w:t>5.11</w:t>
            </w:r>
          </w:p>
        </w:tc>
      </w:tr>
      <w:tr w:rsidR="00B96102" w14:paraId="1655D8F3" w14:textId="77777777" w:rsidTr="00B96102">
        <w:tc>
          <w:tcPr>
            <w:tcW w:w="1558" w:type="dxa"/>
          </w:tcPr>
          <w:p w14:paraId="31F29455" w14:textId="7A204E9B" w:rsidR="00B96102" w:rsidRPr="00F01A7E" w:rsidRDefault="00B96102" w:rsidP="00F24765">
            <w:pPr>
              <w:pStyle w:val="ListParagraph"/>
              <w:ind w:left="0"/>
              <w:rPr>
                <w:b/>
                <w:bCs/>
                <w:sz w:val="22"/>
                <w:szCs w:val="22"/>
              </w:rPr>
            </w:pPr>
            <w:r w:rsidRPr="00F01A7E">
              <w:rPr>
                <w:b/>
                <w:bCs/>
                <w:sz w:val="22"/>
                <w:szCs w:val="22"/>
              </w:rPr>
              <w:t>Robust</w:t>
            </w:r>
          </w:p>
        </w:tc>
        <w:tc>
          <w:tcPr>
            <w:tcW w:w="1558" w:type="dxa"/>
          </w:tcPr>
          <w:p w14:paraId="42314956" w14:textId="13B2957B" w:rsidR="00B96102" w:rsidRPr="00F01A7E" w:rsidRDefault="00B96102" w:rsidP="00F24765">
            <w:pPr>
              <w:pStyle w:val="ListParagraph"/>
              <w:ind w:left="0"/>
              <w:rPr>
                <w:b/>
                <w:bCs/>
                <w:sz w:val="22"/>
                <w:szCs w:val="22"/>
              </w:rPr>
            </w:pPr>
            <w:r w:rsidRPr="00F01A7E">
              <w:rPr>
                <w:b/>
                <w:bCs/>
                <w:sz w:val="22"/>
                <w:szCs w:val="22"/>
              </w:rPr>
              <w:t>-2.3</w:t>
            </w:r>
          </w:p>
        </w:tc>
        <w:tc>
          <w:tcPr>
            <w:tcW w:w="1558" w:type="dxa"/>
          </w:tcPr>
          <w:p w14:paraId="77D73484" w14:textId="39656BEC" w:rsidR="00B96102" w:rsidRPr="00F01A7E" w:rsidRDefault="00790420" w:rsidP="00F24765">
            <w:pPr>
              <w:pStyle w:val="ListParagraph"/>
              <w:ind w:left="0"/>
              <w:rPr>
                <w:b/>
                <w:bCs/>
                <w:sz w:val="22"/>
                <w:szCs w:val="22"/>
              </w:rPr>
            </w:pPr>
            <w:r>
              <w:rPr>
                <w:b/>
                <w:bCs/>
                <w:sz w:val="22"/>
                <w:szCs w:val="22"/>
              </w:rPr>
              <w:t>1.71</w:t>
            </w:r>
          </w:p>
        </w:tc>
        <w:tc>
          <w:tcPr>
            <w:tcW w:w="1558" w:type="dxa"/>
          </w:tcPr>
          <w:p w14:paraId="1606A8B6" w14:textId="55A554DD" w:rsidR="00B96102" w:rsidRPr="00F01A7E" w:rsidRDefault="00B96102" w:rsidP="00F24765">
            <w:pPr>
              <w:pStyle w:val="ListParagraph"/>
              <w:ind w:left="0"/>
              <w:rPr>
                <w:b/>
                <w:bCs/>
                <w:sz w:val="22"/>
                <w:szCs w:val="22"/>
              </w:rPr>
            </w:pPr>
            <w:r w:rsidRPr="00F01A7E">
              <w:rPr>
                <w:b/>
                <w:bCs/>
                <w:sz w:val="22"/>
                <w:szCs w:val="22"/>
              </w:rPr>
              <w:t>-2.3</w:t>
            </w:r>
          </w:p>
        </w:tc>
        <w:tc>
          <w:tcPr>
            <w:tcW w:w="1559" w:type="dxa"/>
          </w:tcPr>
          <w:p w14:paraId="1883123B" w14:textId="0C72EE24" w:rsidR="00B96102" w:rsidRPr="00F01A7E" w:rsidRDefault="00B96102" w:rsidP="00F24765">
            <w:pPr>
              <w:pStyle w:val="ListParagraph"/>
              <w:ind w:left="0"/>
              <w:rPr>
                <w:b/>
                <w:bCs/>
                <w:sz w:val="22"/>
                <w:szCs w:val="22"/>
              </w:rPr>
            </w:pPr>
            <w:r w:rsidRPr="00F01A7E">
              <w:rPr>
                <w:b/>
                <w:bCs/>
                <w:sz w:val="22"/>
                <w:szCs w:val="22"/>
              </w:rPr>
              <w:t>-6.65</w:t>
            </w:r>
          </w:p>
        </w:tc>
        <w:tc>
          <w:tcPr>
            <w:tcW w:w="1559" w:type="dxa"/>
          </w:tcPr>
          <w:p w14:paraId="775F192D" w14:textId="09A9CF21" w:rsidR="00B96102" w:rsidRPr="00F01A7E" w:rsidRDefault="00B96102" w:rsidP="00F24765">
            <w:pPr>
              <w:pStyle w:val="ListParagraph"/>
              <w:ind w:left="0"/>
              <w:rPr>
                <w:b/>
                <w:bCs/>
                <w:sz w:val="22"/>
                <w:szCs w:val="22"/>
              </w:rPr>
            </w:pPr>
            <w:r w:rsidRPr="00F01A7E">
              <w:rPr>
                <w:b/>
                <w:bCs/>
                <w:sz w:val="22"/>
                <w:szCs w:val="22"/>
              </w:rPr>
              <w:t>2.05</w:t>
            </w:r>
          </w:p>
        </w:tc>
      </w:tr>
    </w:tbl>
    <w:p w14:paraId="3F7BE5AF" w14:textId="77777777" w:rsidR="00834158" w:rsidRDefault="00834158" w:rsidP="00F24765">
      <w:pPr>
        <w:pStyle w:val="ListParagraph"/>
        <w:rPr>
          <w:sz w:val="22"/>
          <w:szCs w:val="22"/>
        </w:rPr>
      </w:pPr>
    </w:p>
    <w:p w14:paraId="27246D59" w14:textId="4892CE16" w:rsidR="005937BC" w:rsidRDefault="005937BC" w:rsidP="00F24765">
      <w:pPr>
        <w:pStyle w:val="ListParagraph"/>
        <w:rPr>
          <w:sz w:val="22"/>
          <w:szCs w:val="22"/>
        </w:rPr>
      </w:pPr>
    </w:p>
    <w:p w14:paraId="42F8F68D" w14:textId="77777777" w:rsidR="005B626C" w:rsidRDefault="005B626C" w:rsidP="00F24765">
      <w:pPr>
        <w:pStyle w:val="ListParagraph"/>
        <w:rPr>
          <w:sz w:val="22"/>
          <w:szCs w:val="22"/>
        </w:rPr>
      </w:pPr>
    </w:p>
    <w:p w14:paraId="4517E4B7" w14:textId="5B56EA7F" w:rsidR="005937BC" w:rsidRPr="005B626C" w:rsidRDefault="005B626C" w:rsidP="00F24765">
      <w:pPr>
        <w:pStyle w:val="ListParagraph"/>
        <w:rPr>
          <w:b/>
          <w:bCs/>
          <w:sz w:val="22"/>
          <w:szCs w:val="22"/>
        </w:rPr>
      </w:pPr>
      <w:r w:rsidRPr="005B626C">
        <w:rPr>
          <w:b/>
          <w:bCs/>
          <w:sz w:val="22"/>
          <w:szCs w:val="22"/>
        </w:rPr>
        <w:t>Figure: prior for placebo mean change from baseline in MDD</w:t>
      </w:r>
    </w:p>
    <w:p w14:paraId="75C0CACD" w14:textId="3B83A9DA" w:rsidR="00EC722B" w:rsidRPr="00F24765" w:rsidRDefault="00F24765" w:rsidP="000507F8">
      <w:pPr>
        <w:pStyle w:val="ListParagraph"/>
        <w:jc w:val="center"/>
        <w:rPr>
          <w:sz w:val="22"/>
          <w:szCs w:val="22"/>
        </w:rPr>
      </w:pPr>
      <w:r>
        <w:rPr>
          <w:noProof/>
        </w:rPr>
        <w:drawing>
          <wp:inline distT="0" distB="0" distL="0" distR="0" wp14:anchorId="7DFBBCAA" wp14:editId="2050A3B6">
            <wp:extent cx="4279393" cy="342351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2590" cy="3442071"/>
                    </a:xfrm>
                    <a:prstGeom prst="rect">
                      <a:avLst/>
                    </a:prstGeom>
                    <a:noFill/>
                    <a:ln>
                      <a:noFill/>
                    </a:ln>
                  </pic:spPr>
                </pic:pic>
              </a:graphicData>
            </a:graphic>
          </wp:inline>
        </w:drawing>
      </w:r>
    </w:p>
    <w:p w14:paraId="6F0843EB" w14:textId="791EA2EF" w:rsidR="005937BC" w:rsidRPr="000507F8" w:rsidRDefault="00CC72B9" w:rsidP="000507F8">
      <w:pPr>
        <w:rPr>
          <w:sz w:val="22"/>
          <w:szCs w:val="22"/>
        </w:rPr>
      </w:pPr>
      <w:r>
        <w:rPr>
          <w:sz w:val="22"/>
          <w:szCs w:val="22"/>
        </w:rPr>
        <w:br w:type="page"/>
      </w:r>
      <w:r w:rsidR="0092488A" w:rsidRPr="000507F8">
        <w:rPr>
          <w:sz w:val="22"/>
          <w:szCs w:val="22"/>
        </w:rPr>
        <w:lastRenderedPageBreak/>
        <w:t xml:space="preserve">Revised study: </w:t>
      </w:r>
      <w:r w:rsidR="00E340E0" w:rsidRPr="000507F8">
        <w:rPr>
          <w:sz w:val="22"/>
          <w:szCs w:val="22"/>
        </w:rPr>
        <w:t xml:space="preserve">the robust prior has a prior effective sample size (as assessed by ELIR) of approximately </w:t>
      </w:r>
      <w:r w:rsidR="000507F8">
        <w:rPr>
          <w:sz w:val="22"/>
          <w:szCs w:val="22"/>
        </w:rPr>
        <w:t xml:space="preserve">N = </w:t>
      </w:r>
      <w:r w:rsidR="00E340E0" w:rsidRPr="000507F8">
        <w:rPr>
          <w:sz w:val="22"/>
          <w:szCs w:val="22"/>
        </w:rPr>
        <w:t>110. While additional considerations (such as studying power varying the control group size) are required in practice,</w:t>
      </w:r>
      <w:r w:rsidR="000507F8" w:rsidRPr="000507F8">
        <w:rPr>
          <w:sz w:val="22"/>
          <w:szCs w:val="22"/>
        </w:rPr>
        <w:t xml:space="preserve"> </w:t>
      </w:r>
      <w:r w:rsidR="00AF6990">
        <w:rPr>
          <w:sz w:val="22"/>
          <w:szCs w:val="22"/>
        </w:rPr>
        <w:t xml:space="preserve">in </w:t>
      </w:r>
      <w:r w:rsidR="000507F8" w:rsidRPr="000507F8">
        <w:rPr>
          <w:sz w:val="22"/>
          <w:szCs w:val="22"/>
        </w:rPr>
        <w:t xml:space="preserve">this case </w:t>
      </w:r>
      <w:r w:rsidR="00AF6990">
        <w:rPr>
          <w:sz w:val="22"/>
          <w:szCs w:val="22"/>
        </w:rPr>
        <w:t xml:space="preserve">study </w:t>
      </w:r>
      <w:r w:rsidR="000507F8" w:rsidRPr="000507F8">
        <w:rPr>
          <w:sz w:val="22"/>
          <w:szCs w:val="22"/>
        </w:rPr>
        <w:t xml:space="preserve">we will </w:t>
      </w:r>
      <w:r w:rsidR="000507F8">
        <w:rPr>
          <w:sz w:val="22"/>
          <w:szCs w:val="22"/>
        </w:rPr>
        <w:t>r</w:t>
      </w:r>
      <w:r w:rsidR="00CA15E9" w:rsidRPr="000507F8">
        <w:rPr>
          <w:sz w:val="22"/>
          <w:szCs w:val="22"/>
        </w:rPr>
        <w:t xml:space="preserve">educe the control arm by </w:t>
      </w:r>
      <w:r w:rsidR="00751E31">
        <w:rPr>
          <w:sz w:val="22"/>
          <w:szCs w:val="22"/>
        </w:rPr>
        <w:t>~</w:t>
      </w:r>
      <w:r w:rsidR="00CA15E9" w:rsidRPr="000507F8">
        <w:rPr>
          <w:sz w:val="22"/>
          <w:szCs w:val="22"/>
        </w:rPr>
        <w:t>1/3 (</w:t>
      </w:r>
      <w:r w:rsidR="00751E31">
        <w:rPr>
          <w:sz w:val="22"/>
          <w:szCs w:val="22"/>
        </w:rPr>
        <w:t>8</w:t>
      </w:r>
      <w:r w:rsidR="00CA15E9" w:rsidRPr="000507F8">
        <w:rPr>
          <w:sz w:val="22"/>
          <w:szCs w:val="22"/>
        </w:rPr>
        <w:t xml:space="preserve">0 patients), </w:t>
      </w:r>
      <w:r w:rsidR="000507F8">
        <w:rPr>
          <w:sz w:val="22"/>
          <w:szCs w:val="22"/>
        </w:rPr>
        <w:t>i.e.</w:t>
      </w:r>
      <w:r w:rsidR="00CA15E9" w:rsidRPr="000507F8">
        <w:rPr>
          <w:sz w:val="22"/>
          <w:szCs w:val="22"/>
        </w:rPr>
        <w:t xml:space="preserve"> </w:t>
      </w:r>
      <w:r w:rsidR="000507F8">
        <w:rPr>
          <w:sz w:val="22"/>
          <w:szCs w:val="22"/>
        </w:rPr>
        <w:t>u</w:t>
      </w:r>
      <w:r w:rsidR="00CA15E9" w:rsidRPr="000507F8">
        <w:rPr>
          <w:sz w:val="22"/>
          <w:szCs w:val="22"/>
        </w:rPr>
        <w:t xml:space="preserve">se 3:2 randomization for Study B. </w:t>
      </w:r>
      <w:r w:rsidR="007A1898" w:rsidRPr="000507F8">
        <w:rPr>
          <w:sz w:val="22"/>
          <w:szCs w:val="22"/>
        </w:rPr>
        <w:t>The decision criterion for statistical study success requires at least 97.5% posterior probability that NEWTRT is better than placebo.</w:t>
      </w:r>
    </w:p>
    <w:p w14:paraId="59AB6780" w14:textId="29302694" w:rsidR="0033425B" w:rsidRPr="006B2F62" w:rsidRDefault="0033425B" w:rsidP="00AF6990">
      <w:pPr>
        <w:autoSpaceDE w:val="0"/>
        <w:autoSpaceDN w:val="0"/>
        <w:adjustRightInd w:val="0"/>
        <w:spacing w:after="0" w:line="240" w:lineRule="auto"/>
        <w:rPr>
          <w:sz w:val="22"/>
          <w:szCs w:val="22"/>
        </w:rPr>
      </w:pPr>
      <w:r w:rsidRPr="006B2F62">
        <w:rPr>
          <w:sz w:val="22"/>
          <w:szCs w:val="22"/>
        </w:rPr>
        <w:t>In the following</w:t>
      </w:r>
      <w:r w:rsidR="00407707" w:rsidRPr="006B2F62">
        <w:rPr>
          <w:sz w:val="22"/>
          <w:szCs w:val="22"/>
        </w:rPr>
        <w:t xml:space="preserve"> figure</w:t>
      </w:r>
      <w:r w:rsidR="00546DBB" w:rsidRPr="006B2F62">
        <w:rPr>
          <w:sz w:val="22"/>
          <w:szCs w:val="22"/>
        </w:rPr>
        <w:t>,</w:t>
      </w:r>
      <w:r w:rsidRPr="006B2F62">
        <w:rPr>
          <w:sz w:val="22"/>
          <w:szCs w:val="22"/>
        </w:rPr>
        <w:t xml:space="preserve"> we use a sample size of “evaluable” patients, meaning 10% of the randomized patients drop out. This makes comparisons simpler since the evaluable number of patients yields 90% power for the frequentist design.</w:t>
      </w:r>
    </w:p>
    <w:p w14:paraId="0240F11C" w14:textId="77777777" w:rsidR="0033425B" w:rsidRPr="006B2F62" w:rsidRDefault="0033425B" w:rsidP="00AF6990">
      <w:pPr>
        <w:autoSpaceDE w:val="0"/>
        <w:autoSpaceDN w:val="0"/>
        <w:adjustRightInd w:val="0"/>
        <w:spacing w:after="0" w:line="240" w:lineRule="auto"/>
        <w:rPr>
          <w:sz w:val="22"/>
          <w:szCs w:val="22"/>
        </w:rPr>
      </w:pPr>
    </w:p>
    <w:p w14:paraId="27DC8F32" w14:textId="4802A7D0" w:rsidR="005316A6" w:rsidRPr="00AF6990" w:rsidRDefault="00834158" w:rsidP="00AF6990">
      <w:pPr>
        <w:autoSpaceDE w:val="0"/>
        <w:autoSpaceDN w:val="0"/>
        <w:adjustRightInd w:val="0"/>
        <w:spacing w:after="0" w:line="240" w:lineRule="auto"/>
        <w:rPr>
          <w:sz w:val="22"/>
          <w:szCs w:val="22"/>
        </w:rPr>
      </w:pPr>
      <w:r w:rsidRPr="006B2F62">
        <w:rPr>
          <w:sz w:val="22"/>
          <w:szCs w:val="22"/>
        </w:rPr>
        <w:t xml:space="preserve">A comprehensive summary of the operating characteristics </w:t>
      </w:r>
      <w:r w:rsidR="00554244" w:rsidRPr="006B2F62">
        <w:rPr>
          <w:sz w:val="22"/>
          <w:szCs w:val="22"/>
        </w:rPr>
        <w:t>is given in the figure below.</w:t>
      </w:r>
      <w:r w:rsidR="00D5627E" w:rsidRPr="006B2F62">
        <w:rPr>
          <w:sz w:val="22"/>
          <w:szCs w:val="22"/>
        </w:rPr>
        <w:t xml:space="preserve"> Note that comparisons are made versus the </w:t>
      </w:r>
      <w:r w:rsidR="00D5627E" w:rsidRPr="006B2F62">
        <w:rPr>
          <w:b/>
          <w:bCs/>
          <w:sz w:val="22"/>
          <w:szCs w:val="22"/>
        </w:rPr>
        <w:t>original</w:t>
      </w:r>
      <w:r w:rsidR="00D5627E" w:rsidRPr="006B2F62">
        <w:rPr>
          <w:sz w:val="22"/>
          <w:szCs w:val="22"/>
        </w:rPr>
        <w:t xml:space="preserve"> frequentist design</w:t>
      </w:r>
      <w:r w:rsidR="00324CC5" w:rsidRPr="006B2F62">
        <w:rPr>
          <w:sz w:val="22"/>
          <w:szCs w:val="22"/>
        </w:rPr>
        <w:t xml:space="preserve"> (N = 24</w:t>
      </w:r>
      <w:r w:rsidR="00645146">
        <w:rPr>
          <w:sz w:val="22"/>
          <w:szCs w:val="22"/>
        </w:rPr>
        <w:t>0</w:t>
      </w:r>
      <w:r w:rsidR="00324CC5" w:rsidRPr="006B2F62">
        <w:rPr>
          <w:sz w:val="22"/>
          <w:szCs w:val="22"/>
        </w:rPr>
        <w:t xml:space="preserve"> evaluable patients </w:t>
      </w:r>
      <w:r w:rsidR="00EB0AB6" w:rsidRPr="006B2F62">
        <w:rPr>
          <w:sz w:val="22"/>
          <w:szCs w:val="22"/>
        </w:rPr>
        <w:t>for NEWTRT and placebo, respectively</w:t>
      </w:r>
      <w:r w:rsidR="00324CC5" w:rsidRPr="006B2F62">
        <w:rPr>
          <w:sz w:val="22"/>
          <w:szCs w:val="22"/>
        </w:rPr>
        <w:t>)</w:t>
      </w:r>
      <w:r w:rsidR="00D5627E" w:rsidRPr="006B2F62">
        <w:rPr>
          <w:sz w:val="22"/>
          <w:szCs w:val="22"/>
        </w:rPr>
        <w:t>.</w:t>
      </w:r>
      <w:r w:rsidR="00A8208E" w:rsidRPr="006B2F62">
        <w:rPr>
          <w:sz w:val="22"/>
          <w:szCs w:val="22"/>
        </w:rPr>
        <w:t xml:space="preserve"> “Type I error” </w:t>
      </w:r>
      <w:r w:rsidR="00C250C0" w:rsidRPr="006B2F62">
        <w:rPr>
          <w:sz w:val="22"/>
          <w:szCs w:val="22"/>
        </w:rPr>
        <w:t xml:space="preserve">is </w:t>
      </w:r>
      <w:r w:rsidR="00A8208E" w:rsidRPr="006B2F62">
        <w:rPr>
          <w:sz w:val="22"/>
          <w:szCs w:val="22"/>
        </w:rPr>
        <w:t>1-sided.</w:t>
      </w:r>
    </w:p>
    <w:p w14:paraId="2A96EF33" w14:textId="7B633C62" w:rsidR="005B626C" w:rsidRDefault="005B626C" w:rsidP="00834158">
      <w:pPr>
        <w:pStyle w:val="ListParagraph"/>
        <w:autoSpaceDE w:val="0"/>
        <w:autoSpaceDN w:val="0"/>
        <w:adjustRightInd w:val="0"/>
        <w:spacing w:after="0" w:line="240" w:lineRule="auto"/>
        <w:rPr>
          <w:sz w:val="22"/>
          <w:szCs w:val="22"/>
        </w:rPr>
      </w:pPr>
    </w:p>
    <w:p w14:paraId="29107909" w14:textId="0725D694" w:rsidR="005B626C" w:rsidRDefault="005B626C" w:rsidP="00834158">
      <w:pPr>
        <w:pStyle w:val="ListParagraph"/>
        <w:autoSpaceDE w:val="0"/>
        <w:autoSpaceDN w:val="0"/>
        <w:adjustRightInd w:val="0"/>
        <w:spacing w:after="0" w:line="240" w:lineRule="auto"/>
        <w:rPr>
          <w:sz w:val="22"/>
          <w:szCs w:val="22"/>
        </w:rPr>
      </w:pPr>
    </w:p>
    <w:p w14:paraId="51A5B1E6" w14:textId="7872967B" w:rsidR="005B626C" w:rsidRPr="005B626C" w:rsidRDefault="005B626C" w:rsidP="00834158">
      <w:pPr>
        <w:pStyle w:val="ListParagraph"/>
        <w:autoSpaceDE w:val="0"/>
        <w:autoSpaceDN w:val="0"/>
        <w:adjustRightInd w:val="0"/>
        <w:spacing w:after="0" w:line="240" w:lineRule="auto"/>
        <w:rPr>
          <w:b/>
          <w:bCs/>
          <w:sz w:val="22"/>
          <w:szCs w:val="22"/>
        </w:rPr>
      </w:pPr>
      <w:r w:rsidRPr="005B626C">
        <w:rPr>
          <w:b/>
          <w:bCs/>
          <w:sz w:val="22"/>
          <w:szCs w:val="22"/>
        </w:rPr>
        <w:t xml:space="preserve">Figure: operating characteristics for the original and the </w:t>
      </w:r>
      <w:r w:rsidR="00B912D5">
        <w:rPr>
          <w:b/>
          <w:bCs/>
          <w:sz w:val="22"/>
          <w:szCs w:val="22"/>
        </w:rPr>
        <w:t>Bayesian Dynamic Borrowing (</w:t>
      </w:r>
      <w:r w:rsidRPr="005B626C">
        <w:rPr>
          <w:b/>
          <w:bCs/>
          <w:sz w:val="22"/>
          <w:szCs w:val="22"/>
        </w:rPr>
        <w:t>BDB</w:t>
      </w:r>
      <w:r w:rsidR="00B912D5">
        <w:rPr>
          <w:b/>
          <w:bCs/>
          <w:sz w:val="22"/>
          <w:szCs w:val="22"/>
        </w:rPr>
        <w:t>)</w:t>
      </w:r>
      <w:r w:rsidRPr="005B626C">
        <w:rPr>
          <w:b/>
          <w:bCs/>
          <w:sz w:val="22"/>
          <w:szCs w:val="22"/>
        </w:rPr>
        <w:t xml:space="preserve"> design</w:t>
      </w:r>
    </w:p>
    <w:p w14:paraId="5287DF5D" w14:textId="170C0B70" w:rsidR="00834158" w:rsidRDefault="00DB069C" w:rsidP="00834158">
      <w:pPr>
        <w:pStyle w:val="ListParagraph"/>
        <w:autoSpaceDE w:val="0"/>
        <w:autoSpaceDN w:val="0"/>
        <w:adjustRightInd w:val="0"/>
        <w:spacing w:after="0" w:line="240" w:lineRule="auto"/>
        <w:rPr>
          <w:sz w:val="22"/>
          <w:szCs w:val="22"/>
        </w:rPr>
      </w:pPr>
      <w:r>
        <w:rPr>
          <w:noProof/>
          <w:sz w:val="22"/>
          <w:szCs w:val="22"/>
        </w:rPr>
        <w:drawing>
          <wp:inline distT="0" distB="0" distL="0" distR="0" wp14:anchorId="441F8FFF" wp14:editId="326C283D">
            <wp:extent cx="5238750" cy="4191001"/>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39498" cy="4191599"/>
                    </a:xfrm>
                    <a:prstGeom prst="rect">
                      <a:avLst/>
                    </a:prstGeom>
                  </pic:spPr>
                </pic:pic>
              </a:graphicData>
            </a:graphic>
          </wp:inline>
        </w:drawing>
      </w:r>
    </w:p>
    <w:p w14:paraId="2E282BBB" w14:textId="123E7F66" w:rsidR="005748C8" w:rsidRDefault="005748C8" w:rsidP="00834158">
      <w:pPr>
        <w:autoSpaceDE w:val="0"/>
        <w:autoSpaceDN w:val="0"/>
        <w:adjustRightInd w:val="0"/>
        <w:spacing w:after="0" w:line="240" w:lineRule="auto"/>
        <w:rPr>
          <w:sz w:val="22"/>
          <w:szCs w:val="22"/>
        </w:rPr>
      </w:pPr>
    </w:p>
    <w:p w14:paraId="0E7C5B44" w14:textId="77777777" w:rsidR="005D39E8" w:rsidRPr="004C54EE" w:rsidRDefault="005D39E8" w:rsidP="004C54EE">
      <w:pPr>
        <w:autoSpaceDE w:val="0"/>
        <w:autoSpaceDN w:val="0"/>
        <w:adjustRightInd w:val="0"/>
        <w:spacing w:after="0" w:line="240" w:lineRule="auto"/>
        <w:rPr>
          <w:sz w:val="22"/>
          <w:szCs w:val="22"/>
        </w:rPr>
      </w:pPr>
    </w:p>
    <w:p w14:paraId="35082DC3" w14:textId="77777777" w:rsidR="00B912D5" w:rsidRDefault="00B912D5">
      <w:pPr>
        <w:rPr>
          <w:sz w:val="28"/>
          <w:szCs w:val="28"/>
          <w:u w:val="single"/>
        </w:rPr>
      </w:pPr>
      <w:r>
        <w:rPr>
          <w:sz w:val="28"/>
          <w:szCs w:val="28"/>
          <w:u w:val="single"/>
        </w:rPr>
        <w:br w:type="page"/>
      </w:r>
    </w:p>
    <w:p w14:paraId="3F40D5EB" w14:textId="5F03EF82" w:rsidR="00A63D60" w:rsidRPr="001A7821" w:rsidRDefault="00A63D60" w:rsidP="001A7821">
      <w:pPr>
        <w:rPr>
          <w:sz w:val="28"/>
          <w:szCs w:val="28"/>
          <w:u w:val="single"/>
        </w:rPr>
      </w:pPr>
      <w:r w:rsidRPr="001A7821">
        <w:rPr>
          <w:sz w:val="28"/>
          <w:szCs w:val="28"/>
          <w:u w:val="single"/>
        </w:rPr>
        <w:lastRenderedPageBreak/>
        <w:t>Points to cons</w:t>
      </w:r>
      <w:r w:rsidR="000D0537" w:rsidRPr="001A7821">
        <w:rPr>
          <w:sz w:val="28"/>
          <w:szCs w:val="28"/>
          <w:u w:val="single"/>
        </w:rPr>
        <w:t>i</w:t>
      </w:r>
      <w:r w:rsidRPr="001A7821">
        <w:rPr>
          <w:sz w:val="28"/>
          <w:szCs w:val="28"/>
          <w:u w:val="single"/>
        </w:rPr>
        <w:t xml:space="preserve">der for discussions with regulatory </w:t>
      </w:r>
      <w:r w:rsidR="000D0537" w:rsidRPr="001A7821">
        <w:rPr>
          <w:sz w:val="28"/>
          <w:szCs w:val="28"/>
          <w:u w:val="single"/>
        </w:rPr>
        <w:t>authorities</w:t>
      </w:r>
    </w:p>
    <w:p w14:paraId="0525D5EC" w14:textId="31ED46D4" w:rsidR="002833A2" w:rsidRDefault="00BD04C4" w:rsidP="00551721">
      <w:pPr>
        <w:autoSpaceDE w:val="0"/>
        <w:autoSpaceDN w:val="0"/>
        <w:adjustRightInd w:val="0"/>
        <w:spacing w:after="0" w:line="240" w:lineRule="auto"/>
        <w:rPr>
          <w:sz w:val="22"/>
          <w:szCs w:val="22"/>
        </w:rPr>
      </w:pPr>
      <w:r>
        <w:rPr>
          <w:sz w:val="22"/>
          <w:szCs w:val="22"/>
        </w:rPr>
        <w:t xml:space="preserve">In your breakout groups, please </w:t>
      </w:r>
      <w:r w:rsidR="002833A2">
        <w:rPr>
          <w:sz w:val="22"/>
          <w:szCs w:val="22"/>
        </w:rPr>
        <w:t>consider the following questions:</w:t>
      </w:r>
      <w:r w:rsidR="00F31D2E">
        <w:rPr>
          <w:sz w:val="22"/>
          <w:szCs w:val="22"/>
        </w:rPr>
        <w:br/>
      </w:r>
    </w:p>
    <w:p w14:paraId="5EE77DE8" w14:textId="313936A5" w:rsidR="00544CCA" w:rsidRPr="001C540A" w:rsidRDefault="000F1BB2" w:rsidP="00544CCA">
      <w:pPr>
        <w:pStyle w:val="ListParagraph"/>
        <w:numPr>
          <w:ilvl w:val="0"/>
          <w:numId w:val="9"/>
        </w:numPr>
        <w:autoSpaceDE w:val="0"/>
        <w:autoSpaceDN w:val="0"/>
        <w:adjustRightInd w:val="0"/>
        <w:spacing w:after="0" w:line="240" w:lineRule="auto"/>
        <w:rPr>
          <w:sz w:val="22"/>
          <w:szCs w:val="22"/>
        </w:rPr>
      </w:pPr>
      <w:r w:rsidRPr="001C540A">
        <w:rPr>
          <w:sz w:val="22"/>
          <w:szCs w:val="22"/>
        </w:rPr>
        <w:t xml:space="preserve">Considering the information above, </w:t>
      </w:r>
      <w:r w:rsidR="001C540A" w:rsidRPr="001C540A">
        <w:rPr>
          <w:sz w:val="22"/>
          <w:szCs w:val="22"/>
        </w:rPr>
        <w:t xml:space="preserve">discuss in your team what pros / cons you see with the proposed approach. </w:t>
      </w:r>
      <w:r w:rsidR="000C75BA">
        <w:rPr>
          <w:sz w:val="22"/>
          <w:szCs w:val="22"/>
        </w:rPr>
        <w:t>Do</w:t>
      </w:r>
      <w:r w:rsidR="00544CCA" w:rsidRPr="001C540A">
        <w:rPr>
          <w:sz w:val="22"/>
          <w:szCs w:val="22"/>
        </w:rPr>
        <w:t xml:space="preserve"> you feel comfortable with </w:t>
      </w:r>
      <w:r w:rsidR="001C540A">
        <w:rPr>
          <w:sz w:val="22"/>
          <w:szCs w:val="22"/>
        </w:rPr>
        <w:t xml:space="preserve">the </w:t>
      </w:r>
      <w:r w:rsidR="000C75BA">
        <w:rPr>
          <w:sz w:val="22"/>
          <w:szCs w:val="22"/>
        </w:rPr>
        <w:t>proposal</w:t>
      </w:r>
      <w:r w:rsidR="001C540A">
        <w:rPr>
          <w:sz w:val="22"/>
          <w:szCs w:val="22"/>
        </w:rPr>
        <w:t xml:space="preserve"> </w:t>
      </w:r>
      <w:r w:rsidR="00544CCA" w:rsidRPr="001C540A">
        <w:rPr>
          <w:sz w:val="22"/>
          <w:szCs w:val="22"/>
        </w:rPr>
        <w:t xml:space="preserve">and agree </w:t>
      </w:r>
      <w:r w:rsidR="000C75BA">
        <w:rPr>
          <w:sz w:val="22"/>
          <w:szCs w:val="22"/>
        </w:rPr>
        <w:t>to</w:t>
      </w:r>
      <w:r w:rsidR="00544CCA" w:rsidRPr="001C540A">
        <w:rPr>
          <w:sz w:val="22"/>
          <w:szCs w:val="22"/>
        </w:rPr>
        <w:t xml:space="preserve"> approach regulators?</w:t>
      </w:r>
    </w:p>
    <w:p w14:paraId="3D16983A" w14:textId="77777777" w:rsidR="00544CCA" w:rsidRPr="00544CCA" w:rsidRDefault="00544CCA" w:rsidP="00544CCA">
      <w:pPr>
        <w:autoSpaceDE w:val="0"/>
        <w:autoSpaceDN w:val="0"/>
        <w:adjustRightInd w:val="0"/>
        <w:spacing w:after="0" w:line="240" w:lineRule="auto"/>
        <w:rPr>
          <w:sz w:val="22"/>
          <w:szCs w:val="22"/>
        </w:rPr>
      </w:pPr>
    </w:p>
    <w:p w14:paraId="01AAE324" w14:textId="50BD353E" w:rsidR="00551721" w:rsidRDefault="00544CCA" w:rsidP="00544CCA">
      <w:pPr>
        <w:pStyle w:val="ListParagraph"/>
        <w:numPr>
          <w:ilvl w:val="0"/>
          <w:numId w:val="9"/>
        </w:numPr>
        <w:autoSpaceDE w:val="0"/>
        <w:autoSpaceDN w:val="0"/>
        <w:adjustRightInd w:val="0"/>
        <w:spacing w:after="0" w:line="240" w:lineRule="auto"/>
        <w:rPr>
          <w:sz w:val="22"/>
          <w:szCs w:val="22"/>
        </w:rPr>
      </w:pPr>
      <w:r>
        <w:rPr>
          <w:sz w:val="22"/>
          <w:szCs w:val="22"/>
        </w:rPr>
        <w:t>W</w:t>
      </w:r>
      <w:r w:rsidR="00A15786">
        <w:rPr>
          <w:sz w:val="22"/>
          <w:szCs w:val="22"/>
        </w:rPr>
        <w:t xml:space="preserve">hat would you include in a Company position to support the use of the Phase 2 data as a </w:t>
      </w:r>
      <w:r>
        <w:rPr>
          <w:sz w:val="22"/>
          <w:szCs w:val="22"/>
        </w:rPr>
        <w:t>h</w:t>
      </w:r>
      <w:r w:rsidR="00A15786">
        <w:rPr>
          <w:sz w:val="22"/>
          <w:szCs w:val="22"/>
        </w:rPr>
        <w:t xml:space="preserve">istorical </w:t>
      </w:r>
      <w:r>
        <w:rPr>
          <w:sz w:val="22"/>
          <w:szCs w:val="22"/>
        </w:rPr>
        <w:t>c</w:t>
      </w:r>
      <w:r w:rsidR="00A15786">
        <w:rPr>
          <w:sz w:val="22"/>
          <w:szCs w:val="22"/>
        </w:rPr>
        <w:t>ontrol in the analysis of Study B</w:t>
      </w:r>
      <w:r w:rsidR="00FD7F73">
        <w:rPr>
          <w:sz w:val="22"/>
          <w:szCs w:val="22"/>
        </w:rPr>
        <w:t>?</w:t>
      </w:r>
    </w:p>
    <w:p w14:paraId="28D432F8" w14:textId="77777777" w:rsidR="00544CCA" w:rsidRPr="00544CCA" w:rsidRDefault="00544CCA" w:rsidP="00544CCA">
      <w:pPr>
        <w:pStyle w:val="ListParagraph"/>
        <w:rPr>
          <w:sz w:val="22"/>
          <w:szCs w:val="22"/>
        </w:rPr>
      </w:pPr>
    </w:p>
    <w:p w14:paraId="46B0C8F4" w14:textId="2C7552D7" w:rsidR="00403E5B" w:rsidRDefault="00403E5B" w:rsidP="00544CCA">
      <w:pPr>
        <w:pStyle w:val="ListParagraph"/>
        <w:numPr>
          <w:ilvl w:val="0"/>
          <w:numId w:val="9"/>
        </w:numPr>
        <w:autoSpaceDE w:val="0"/>
        <w:autoSpaceDN w:val="0"/>
        <w:adjustRightInd w:val="0"/>
        <w:spacing w:after="0" w:line="240" w:lineRule="auto"/>
        <w:rPr>
          <w:sz w:val="22"/>
          <w:szCs w:val="22"/>
        </w:rPr>
      </w:pPr>
      <w:r>
        <w:rPr>
          <w:sz w:val="22"/>
          <w:szCs w:val="22"/>
        </w:rPr>
        <w:t>Are there any other Tables or Figures you would provide to support the use of HC data in th</w:t>
      </w:r>
      <w:r w:rsidR="00A35004">
        <w:rPr>
          <w:sz w:val="22"/>
          <w:szCs w:val="22"/>
        </w:rPr>
        <w:t>e analysis of Study B</w:t>
      </w:r>
      <w:r w:rsidR="004F2A3A">
        <w:rPr>
          <w:sz w:val="22"/>
          <w:szCs w:val="22"/>
        </w:rPr>
        <w:t>?</w:t>
      </w:r>
    </w:p>
    <w:p w14:paraId="2BF7BE0D" w14:textId="77777777" w:rsidR="00544CCA" w:rsidRDefault="00544CCA" w:rsidP="00544CCA">
      <w:pPr>
        <w:pStyle w:val="ListParagraph"/>
        <w:autoSpaceDE w:val="0"/>
        <w:autoSpaceDN w:val="0"/>
        <w:adjustRightInd w:val="0"/>
        <w:spacing w:after="0" w:line="240" w:lineRule="auto"/>
        <w:ind w:left="780"/>
        <w:rPr>
          <w:sz w:val="22"/>
          <w:szCs w:val="22"/>
        </w:rPr>
      </w:pPr>
    </w:p>
    <w:p w14:paraId="518E578C" w14:textId="43582656" w:rsidR="00783248" w:rsidRDefault="00FD7F73" w:rsidP="00544CCA">
      <w:pPr>
        <w:pStyle w:val="ListParagraph"/>
        <w:numPr>
          <w:ilvl w:val="0"/>
          <w:numId w:val="9"/>
        </w:numPr>
        <w:autoSpaceDE w:val="0"/>
        <w:autoSpaceDN w:val="0"/>
        <w:adjustRightInd w:val="0"/>
        <w:spacing w:after="0" w:line="240" w:lineRule="auto"/>
        <w:rPr>
          <w:sz w:val="22"/>
          <w:szCs w:val="22"/>
        </w:rPr>
      </w:pPr>
      <w:r>
        <w:rPr>
          <w:sz w:val="22"/>
          <w:szCs w:val="22"/>
        </w:rPr>
        <w:t>What other information would you provide to support the use of HC data as part of a pivotal Phase 3 program?</w:t>
      </w:r>
    </w:p>
    <w:p w14:paraId="27C378BA" w14:textId="77777777" w:rsidR="00A74B70" w:rsidRPr="00403E5B" w:rsidRDefault="00A74B70" w:rsidP="00A74B70">
      <w:pPr>
        <w:pStyle w:val="ListParagraph"/>
        <w:autoSpaceDE w:val="0"/>
        <w:autoSpaceDN w:val="0"/>
        <w:adjustRightInd w:val="0"/>
        <w:spacing w:after="0" w:line="240" w:lineRule="auto"/>
        <w:ind w:left="780"/>
        <w:rPr>
          <w:sz w:val="22"/>
          <w:szCs w:val="22"/>
        </w:rPr>
      </w:pPr>
    </w:p>
    <w:p w14:paraId="62E9F8A4" w14:textId="2A7756DF" w:rsidR="00FD7F73" w:rsidRDefault="004E3778" w:rsidP="00544CCA">
      <w:pPr>
        <w:pStyle w:val="ListParagraph"/>
        <w:numPr>
          <w:ilvl w:val="0"/>
          <w:numId w:val="9"/>
        </w:numPr>
        <w:autoSpaceDE w:val="0"/>
        <w:autoSpaceDN w:val="0"/>
        <w:adjustRightInd w:val="0"/>
        <w:spacing w:after="0" w:line="240" w:lineRule="auto"/>
        <w:rPr>
          <w:sz w:val="22"/>
          <w:szCs w:val="22"/>
        </w:rPr>
      </w:pPr>
      <w:r>
        <w:rPr>
          <w:sz w:val="22"/>
          <w:szCs w:val="22"/>
        </w:rPr>
        <w:t>What other questions would you ask a regulatory agency when using HC data as part of a regulatory approval?</w:t>
      </w:r>
    </w:p>
    <w:p w14:paraId="717082F7" w14:textId="77777777" w:rsidR="00291223" w:rsidRPr="00291223" w:rsidRDefault="00291223" w:rsidP="00291223">
      <w:pPr>
        <w:pStyle w:val="ListParagraph"/>
        <w:rPr>
          <w:sz w:val="22"/>
          <w:szCs w:val="22"/>
        </w:rPr>
      </w:pPr>
    </w:p>
    <w:p w14:paraId="3F4C694D" w14:textId="365BD09F" w:rsidR="00291223" w:rsidRDefault="00291223" w:rsidP="00544CCA">
      <w:pPr>
        <w:pStyle w:val="ListParagraph"/>
        <w:numPr>
          <w:ilvl w:val="0"/>
          <w:numId w:val="9"/>
        </w:numPr>
        <w:autoSpaceDE w:val="0"/>
        <w:autoSpaceDN w:val="0"/>
        <w:adjustRightInd w:val="0"/>
        <w:spacing w:after="0" w:line="240" w:lineRule="auto"/>
        <w:rPr>
          <w:sz w:val="22"/>
          <w:szCs w:val="22"/>
        </w:rPr>
      </w:pPr>
      <w:r>
        <w:rPr>
          <w:sz w:val="22"/>
          <w:szCs w:val="22"/>
        </w:rPr>
        <w:t>W</w:t>
      </w:r>
      <w:r w:rsidRPr="00291223">
        <w:rPr>
          <w:sz w:val="22"/>
          <w:szCs w:val="22"/>
        </w:rPr>
        <w:t>hat if now there was just Study B in the confirmatory package</w:t>
      </w:r>
      <w:r>
        <w:rPr>
          <w:sz w:val="22"/>
          <w:szCs w:val="22"/>
        </w:rPr>
        <w:t xml:space="preserve"> – what implication would that have?</w:t>
      </w:r>
      <w:r w:rsidR="002653CB">
        <w:rPr>
          <w:sz w:val="22"/>
          <w:szCs w:val="22"/>
        </w:rPr>
        <w:t xml:space="preserve"> Would it change your position?</w:t>
      </w:r>
    </w:p>
    <w:p w14:paraId="51203070" w14:textId="77777777" w:rsidR="00A74B70" w:rsidRDefault="00A74B70" w:rsidP="00A74B70">
      <w:pPr>
        <w:pStyle w:val="ListParagraph"/>
        <w:autoSpaceDE w:val="0"/>
        <w:autoSpaceDN w:val="0"/>
        <w:adjustRightInd w:val="0"/>
        <w:spacing w:after="0" w:line="240" w:lineRule="auto"/>
        <w:ind w:left="780"/>
        <w:rPr>
          <w:sz w:val="22"/>
          <w:szCs w:val="22"/>
        </w:rPr>
      </w:pPr>
    </w:p>
    <w:p w14:paraId="27D6520F" w14:textId="5C3016F2" w:rsidR="000668F0" w:rsidRPr="002833A2" w:rsidRDefault="000668F0" w:rsidP="00544CCA">
      <w:pPr>
        <w:pStyle w:val="ListParagraph"/>
        <w:numPr>
          <w:ilvl w:val="0"/>
          <w:numId w:val="9"/>
        </w:numPr>
        <w:autoSpaceDE w:val="0"/>
        <w:autoSpaceDN w:val="0"/>
        <w:adjustRightInd w:val="0"/>
        <w:spacing w:after="0" w:line="240" w:lineRule="auto"/>
        <w:rPr>
          <w:sz w:val="22"/>
          <w:szCs w:val="22"/>
        </w:rPr>
      </w:pPr>
      <w:r>
        <w:rPr>
          <w:sz w:val="22"/>
          <w:szCs w:val="22"/>
        </w:rPr>
        <w:t>Now imagine you were on the regulatory side, what (other) questions would you ask</w:t>
      </w:r>
      <w:r w:rsidR="00A74B70">
        <w:rPr>
          <w:sz w:val="22"/>
          <w:szCs w:val="22"/>
        </w:rPr>
        <w:t>?</w:t>
      </w:r>
    </w:p>
    <w:p w14:paraId="3D4181D8" w14:textId="4A92F5D4" w:rsidR="00F232B3" w:rsidRPr="002234FF" w:rsidRDefault="00F232B3" w:rsidP="004D2F0B">
      <w:pPr>
        <w:autoSpaceDE w:val="0"/>
        <w:autoSpaceDN w:val="0"/>
        <w:adjustRightInd w:val="0"/>
        <w:spacing w:after="0" w:line="240" w:lineRule="auto"/>
        <w:rPr>
          <w:sz w:val="22"/>
          <w:szCs w:val="22"/>
        </w:rPr>
      </w:pPr>
    </w:p>
    <w:p w14:paraId="5735AB56" w14:textId="77777777" w:rsidR="000F1BB2" w:rsidRDefault="000F1BB2">
      <w:pPr>
        <w:rPr>
          <w:sz w:val="28"/>
          <w:szCs w:val="28"/>
          <w:u w:val="single"/>
        </w:rPr>
      </w:pPr>
      <w:r>
        <w:rPr>
          <w:sz w:val="28"/>
          <w:szCs w:val="28"/>
          <w:u w:val="single"/>
        </w:rPr>
        <w:br w:type="page"/>
      </w:r>
    </w:p>
    <w:p w14:paraId="02ED949F" w14:textId="53487474" w:rsidR="007A4027" w:rsidRPr="00670335" w:rsidRDefault="00337A98" w:rsidP="00670335">
      <w:pPr>
        <w:rPr>
          <w:sz w:val="28"/>
          <w:szCs w:val="28"/>
          <w:u w:val="single"/>
        </w:rPr>
      </w:pPr>
      <w:r>
        <w:rPr>
          <w:sz w:val="28"/>
          <w:szCs w:val="28"/>
          <w:u w:val="single"/>
        </w:rPr>
        <w:lastRenderedPageBreak/>
        <w:t xml:space="preserve">Additional </w:t>
      </w:r>
      <w:r w:rsidR="007A4027" w:rsidRPr="00670335">
        <w:rPr>
          <w:sz w:val="28"/>
          <w:szCs w:val="28"/>
          <w:u w:val="single"/>
        </w:rPr>
        <w:t>points for discussion</w:t>
      </w:r>
      <w:r w:rsidR="00670335">
        <w:rPr>
          <w:sz w:val="28"/>
          <w:szCs w:val="28"/>
          <w:u w:val="single"/>
        </w:rPr>
        <w:t xml:space="preserve"> </w:t>
      </w:r>
    </w:p>
    <w:p w14:paraId="42095308" w14:textId="0A8E35FF" w:rsidR="007A4027" w:rsidRDefault="007A4027" w:rsidP="004D2F0B">
      <w:pPr>
        <w:autoSpaceDE w:val="0"/>
        <w:autoSpaceDN w:val="0"/>
        <w:adjustRightInd w:val="0"/>
        <w:spacing w:after="0" w:line="240" w:lineRule="auto"/>
        <w:rPr>
          <w:sz w:val="22"/>
          <w:szCs w:val="22"/>
        </w:rPr>
      </w:pPr>
      <w:r w:rsidRPr="002234FF">
        <w:rPr>
          <w:sz w:val="22"/>
          <w:szCs w:val="22"/>
        </w:rPr>
        <w:t>Would any of the follow</w:t>
      </w:r>
      <w:r w:rsidR="00337A98">
        <w:rPr>
          <w:sz w:val="22"/>
          <w:szCs w:val="22"/>
        </w:rPr>
        <w:t>ing</w:t>
      </w:r>
      <w:r w:rsidRPr="002234FF">
        <w:rPr>
          <w:sz w:val="22"/>
          <w:szCs w:val="22"/>
        </w:rPr>
        <w:t xml:space="preserve"> features affect the di</w:t>
      </w:r>
      <w:r w:rsidR="00093B2F">
        <w:rPr>
          <w:sz w:val="22"/>
          <w:szCs w:val="22"/>
        </w:rPr>
        <w:t>s</w:t>
      </w:r>
      <w:r w:rsidRPr="002234FF">
        <w:rPr>
          <w:sz w:val="22"/>
          <w:szCs w:val="22"/>
        </w:rPr>
        <w:t>c</w:t>
      </w:r>
      <w:r w:rsidR="00093B2F">
        <w:rPr>
          <w:sz w:val="22"/>
          <w:szCs w:val="22"/>
        </w:rPr>
        <w:t>us</w:t>
      </w:r>
      <w:r w:rsidRPr="002234FF">
        <w:rPr>
          <w:sz w:val="22"/>
          <w:szCs w:val="22"/>
        </w:rPr>
        <w:t>s</w:t>
      </w:r>
      <w:r w:rsidR="00093B2F">
        <w:rPr>
          <w:sz w:val="22"/>
          <w:szCs w:val="22"/>
        </w:rPr>
        <w:t>io</w:t>
      </w:r>
      <w:r w:rsidRPr="002234FF">
        <w:rPr>
          <w:sz w:val="22"/>
          <w:szCs w:val="22"/>
        </w:rPr>
        <w:t>n you would be likely to have with the regulatory agencies?</w:t>
      </w:r>
    </w:p>
    <w:p w14:paraId="0CBA2280" w14:textId="77777777" w:rsidR="00337A98" w:rsidRPr="002234FF" w:rsidRDefault="00337A98" w:rsidP="004D2F0B">
      <w:pPr>
        <w:autoSpaceDE w:val="0"/>
        <w:autoSpaceDN w:val="0"/>
        <w:adjustRightInd w:val="0"/>
        <w:spacing w:after="0" w:line="240" w:lineRule="auto"/>
        <w:rPr>
          <w:sz w:val="22"/>
          <w:szCs w:val="22"/>
        </w:rPr>
      </w:pPr>
    </w:p>
    <w:p w14:paraId="3EB3E619" w14:textId="2CC9E0B6" w:rsidR="0084251E" w:rsidRDefault="00132842" w:rsidP="007A4027">
      <w:pPr>
        <w:pStyle w:val="ListParagraph"/>
        <w:numPr>
          <w:ilvl w:val="0"/>
          <w:numId w:val="4"/>
        </w:numPr>
        <w:autoSpaceDE w:val="0"/>
        <w:autoSpaceDN w:val="0"/>
        <w:adjustRightInd w:val="0"/>
        <w:spacing w:after="0" w:line="240" w:lineRule="auto"/>
        <w:rPr>
          <w:sz w:val="22"/>
          <w:szCs w:val="22"/>
        </w:rPr>
      </w:pPr>
      <w:r>
        <w:rPr>
          <w:sz w:val="22"/>
          <w:szCs w:val="22"/>
        </w:rPr>
        <w:t>Proposal to b</w:t>
      </w:r>
      <w:r w:rsidR="002D5509">
        <w:rPr>
          <w:sz w:val="22"/>
          <w:szCs w:val="22"/>
        </w:rPr>
        <w:t xml:space="preserve">orrow from </w:t>
      </w:r>
      <w:r w:rsidR="00472232">
        <w:rPr>
          <w:sz w:val="22"/>
          <w:szCs w:val="22"/>
        </w:rPr>
        <w:t>h</w:t>
      </w:r>
      <w:r w:rsidR="0084251E" w:rsidRPr="002234FF">
        <w:rPr>
          <w:sz w:val="22"/>
          <w:szCs w:val="22"/>
        </w:rPr>
        <w:t xml:space="preserve">istorical data on treatment effect rather than </w:t>
      </w:r>
      <w:r w:rsidR="00472232">
        <w:rPr>
          <w:sz w:val="22"/>
          <w:szCs w:val="22"/>
        </w:rPr>
        <w:t xml:space="preserve">borrowing </w:t>
      </w:r>
      <w:r w:rsidR="0084251E" w:rsidRPr="002234FF">
        <w:rPr>
          <w:sz w:val="22"/>
          <w:szCs w:val="22"/>
        </w:rPr>
        <w:t>on the control group rate</w:t>
      </w:r>
    </w:p>
    <w:p w14:paraId="7CDFFBF5" w14:textId="61FA807A" w:rsidR="00567A1A" w:rsidRPr="002234FF" w:rsidRDefault="00567A1A" w:rsidP="007A4027">
      <w:pPr>
        <w:pStyle w:val="ListParagraph"/>
        <w:numPr>
          <w:ilvl w:val="0"/>
          <w:numId w:val="4"/>
        </w:numPr>
        <w:autoSpaceDE w:val="0"/>
        <w:autoSpaceDN w:val="0"/>
        <w:adjustRightInd w:val="0"/>
        <w:spacing w:after="0" w:line="240" w:lineRule="auto"/>
        <w:rPr>
          <w:sz w:val="22"/>
          <w:szCs w:val="22"/>
        </w:rPr>
      </w:pPr>
      <w:r>
        <w:rPr>
          <w:sz w:val="22"/>
          <w:szCs w:val="22"/>
        </w:rPr>
        <w:t xml:space="preserve">Differences in IN/EX criteria, </w:t>
      </w:r>
      <w:r w:rsidR="001C2D8D">
        <w:rPr>
          <w:sz w:val="22"/>
          <w:szCs w:val="22"/>
        </w:rPr>
        <w:t>covariate distribution, t</w:t>
      </w:r>
      <w:r>
        <w:rPr>
          <w:sz w:val="22"/>
          <w:szCs w:val="22"/>
        </w:rPr>
        <w:t>imeliness of</w:t>
      </w:r>
      <w:r w:rsidR="001C2D8D">
        <w:rPr>
          <w:sz w:val="22"/>
          <w:szCs w:val="22"/>
        </w:rPr>
        <w:t xml:space="preserve"> historical data</w:t>
      </w:r>
      <w:r>
        <w:rPr>
          <w:sz w:val="22"/>
          <w:szCs w:val="22"/>
        </w:rPr>
        <w:t xml:space="preserve"> </w:t>
      </w:r>
    </w:p>
    <w:p w14:paraId="7078E057" w14:textId="5BCA3814" w:rsidR="00B00D05" w:rsidRPr="00CB123E" w:rsidRDefault="0084251E" w:rsidP="007A4027">
      <w:pPr>
        <w:pStyle w:val="ListParagraph"/>
        <w:numPr>
          <w:ilvl w:val="0"/>
          <w:numId w:val="4"/>
        </w:numPr>
        <w:autoSpaceDE w:val="0"/>
        <w:autoSpaceDN w:val="0"/>
        <w:adjustRightInd w:val="0"/>
        <w:spacing w:after="0" w:line="240" w:lineRule="auto"/>
        <w:rPr>
          <w:sz w:val="22"/>
          <w:szCs w:val="22"/>
        </w:rPr>
      </w:pPr>
      <w:r w:rsidRPr="002234FF">
        <w:rPr>
          <w:sz w:val="22"/>
          <w:szCs w:val="22"/>
        </w:rPr>
        <w:t xml:space="preserve">Historical data </w:t>
      </w:r>
      <w:r w:rsidR="003C4E85" w:rsidRPr="002234FF">
        <w:rPr>
          <w:sz w:val="22"/>
          <w:szCs w:val="22"/>
        </w:rPr>
        <w:t>available from external trial or literature rather than Sponsor Ph2 study</w:t>
      </w:r>
    </w:p>
    <w:p w14:paraId="68434B16" w14:textId="77777777" w:rsidR="00B00D05" w:rsidRPr="002234FF" w:rsidRDefault="00B00D05" w:rsidP="00B00D05">
      <w:pPr>
        <w:pStyle w:val="ListParagraph"/>
        <w:numPr>
          <w:ilvl w:val="0"/>
          <w:numId w:val="4"/>
        </w:numPr>
        <w:autoSpaceDE w:val="0"/>
        <w:autoSpaceDN w:val="0"/>
        <w:adjustRightInd w:val="0"/>
        <w:spacing w:after="0" w:line="240" w:lineRule="auto"/>
        <w:rPr>
          <w:sz w:val="22"/>
          <w:szCs w:val="22"/>
        </w:rPr>
      </w:pPr>
      <w:r>
        <w:rPr>
          <w:sz w:val="22"/>
          <w:szCs w:val="22"/>
        </w:rPr>
        <w:t>Availability of multiple historical data sources instead of a single one</w:t>
      </w:r>
    </w:p>
    <w:p w14:paraId="58F7CDFD" w14:textId="17A4C86C" w:rsidR="00B4503E" w:rsidRPr="00337A98" w:rsidRDefault="00B4503E" w:rsidP="007A4027">
      <w:pPr>
        <w:pStyle w:val="ListParagraph"/>
        <w:numPr>
          <w:ilvl w:val="0"/>
          <w:numId w:val="4"/>
        </w:numPr>
        <w:autoSpaceDE w:val="0"/>
        <w:autoSpaceDN w:val="0"/>
        <w:adjustRightInd w:val="0"/>
        <w:spacing w:after="0" w:line="240" w:lineRule="auto"/>
        <w:rPr>
          <w:sz w:val="22"/>
          <w:szCs w:val="22"/>
        </w:rPr>
      </w:pPr>
      <w:r w:rsidRPr="00337A98">
        <w:rPr>
          <w:sz w:val="22"/>
          <w:szCs w:val="22"/>
        </w:rPr>
        <w:t>Availab</w:t>
      </w:r>
      <w:r w:rsidR="00337A98">
        <w:rPr>
          <w:sz w:val="22"/>
          <w:szCs w:val="22"/>
        </w:rPr>
        <w:t>i</w:t>
      </w:r>
      <w:r w:rsidRPr="00337A98">
        <w:rPr>
          <w:sz w:val="22"/>
          <w:szCs w:val="22"/>
        </w:rPr>
        <w:t xml:space="preserve">lity of observational data / RWD rather than </w:t>
      </w:r>
      <w:r w:rsidR="0089190B" w:rsidRPr="00337A98">
        <w:rPr>
          <w:sz w:val="22"/>
          <w:szCs w:val="22"/>
        </w:rPr>
        <w:t xml:space="preserve">randomized </w:t>
      </w:r>
      <w:r w:rsidRPr="00337A98">
        <w:rPr>
          <w:sz w:val="22"/>
          <w:szCs w:val="22"/>
        </w:rPr>
        <w:t>clinical trial data</w:t>
      </w:r>
    </w:p>
    <w:p w14:paraId="41601093" w14:textId="54A1E327" w:rsidR="00655BCA" w:rsidRDefault="00655BCA" w:rsidP="00655BCA">
      <w:pPr>
        <w:pStyle w:val="ListParagraph"/>
        <w:numPr>
          <w:ilvl w:val="0"/>
          <w:numId w:val="4"/>
        </w:numPr>
        <w:autoSpaceDE w:val="0"/>
        <w:autoSpaceDN w:val="0"/>
        <w:adjustRightInd w:val="0"/>
        <w:spacing w:after="0" w:line="240" w:lineRule="auto"/>
        <w:rPr>
          <w:sz w:val="22"/>
          <w:szCs w:val="22"/>
        </w:rPr>
      </w:pPr>
      <w:r w:rsidRPr="002234FF">
        <w:rPr>
          <w:sz w:val="22"/>
          <w:szCs w:val="22"/>
        </w:rPr>
        <w:t>Availability of HC data at the design stage (i</w:t>
      </w:r>
      <w:r w:rsidR="00561E93">
        <w:rPr>
          <w:sz w:val="22"/>
          <w:szCs w:val="22"/>
        </w:rPr>
        <w:t>.</w:t>
      </w:r>
      <w:r w:rsidRPr="002234FF">
        <w:rPr>
          <w:sz w:val="22"/>
          <w:szCs w:val="22"/>
        </w:rPr>
        <w:t>e</w:t>
      </w:r>
      <w:r w:rsidR="00561E93">
        <w:rPr>
          <w:sz w:val="22"/>
          <w:szCs w:val="22"/>
        </w:rPr>
        <w:t>.</w:t>
      </w:r>
      <w:r w:rsidRPr="002234FF">
        <w:rPr>
          <w:sz w:val="22"/>
          <w:szCs w:val="22"/>
        </w:rPr>
        <w:t>, awareness of HC results) versus HC data</w:t>
      </w:r>
      <w:r w:rsidR="00093B2F">
        <w:rPr>
          <w:sz w:val="22"/>
          <w:szCs w:val="22"/>
        </w:rPr>
        <w:t xml:space="preserve"> </w:t>
      </w:r>
      <w:r w:rsidRPr="002234FF">
        <w:rPr>
          <w:sz w:val="22"/>
          <w:szCs w:val="22"/>
        </w:rPr>
        <w:t>generated in parallel to pivotal trial</w:t>
      </w:r>
    </w:p>
    <w:p w14:paraId="7CFC2018" w14:textId="77777777" w:rsidR="002234FF" w:rsidRPr="002234FF" w:rsidRDefault="002234FF" w:rsidP="00655BCA">
      <w:pPr>
        <w:pStyle w:val="ListParagraph"/>
        <w:numPr>
          <w:ilvl w:val="0"/>
          <w:numId w:val="4"/>
        </w:numPr>
        <w:autoSpaceDE w:val="0"/>
        <w:autoSpaceDN w:val="0"/>
        <w:adjustRightInd w:val="0"/>
        <w:spacing w:after="0" w:line="240" w:lineRule="auto"/>
        <w:rPr>
          <w:sz w:val="22"/>
          <w:szCs w:val="22"/>
        </w:rPr>
      </w:pPr>
      <w:r w:rsidRPr="002234FF">
        <w:rPr>
          <w:sz w:val="22"/>
          <w:szCs w:val="22"/>
        </w:rPr>
        <w:t>Other borrowing approaches</w:t>
      </w:r>
    </w:p>
    <w:p w14:paraId="5407670A" w14:textId="0BF043A9" w:rsidR="007A4027" w:rsidRDefault="002234FF" w:rsidP="00655BCA">
      <w:pPr>
        <w:pStyle w:val="ListParagraph"/>
        <w:numPr>
          <w:ilvl w:val="0"/>
          <w:numId w:val="4"/>
        </w:numPr>
        <w:autoSpaceDE w:val="0"/>
        <w:autoSpaceDN w:val="0"/>
        <w:adjustRightInd w:val="0"/>
        <w:spacing w:after="0" w:line="240" w:lineRule="auto"/>
        <w:rPr>
          <w:sz w:val="22"/>
          <w:szCs w:val="22"/>
        </w:rPr>
      </w:pPr>
      <w:r w:rsidRPr="002234FF">
        <w:rPr>
          <w:sz w:val="22"/>
          <w:szCs w:val="22"/>
        </w:rPr>
        <w:t>Adjustment for prognostic factors</w:t>
      </w:r>
    </w:p>
    <w:p w14:paraId="7BAEEC86" w14:textId="1D81B5CE" w:rsidR="009B4393" w:rsidRDefault="009D3852" w:rsidP="00655BCA">
      <w:pPr>
        <w:pStyle w:val="ListParagraph"/>
        <w:numPr>
          <w:ilvl w:val="0"/>
          <w:numId w:val="4"/>
        </w:numPr>
        <w:autoSpaceDE w:val="0"/>
        <w:autoSpaceDN w:val="0"/>
        <w:adjustRightInd w:val="0"/>
        <w:spacing w:after="0" w:line="240" w:lineRule="auto"/>
        <w:rPr>
          <w:sz w:val="22"/>
          <w:szCs w:val="22"/>
        </w:rPr>
      </w:pPr>
      <w:r>
        <w:rPr>
          <w:sz w:val="22"/>
          <w:szCs w:val="22"/>
        </w:rPr>
        <w:t xml:space="preserve">Borrowing for a pivotal phase III trial in adults vs. </w:t>
      </w:r>
      <w:r w:rsidR="009A0FB8">
        <w:rPr>
          <w:sz w:val="22"/>
          <w:szCs w:val="22"/>
        </w:rPr>
        <w:t xml:space="preserve">pediatric phase III vs. rare disease </w:t>
      </w:r>
      <w:r w:rsidR="00A57334">
        <w:rPr>
          <w:sz w:val="22"/>
          <w:szCs w:val="22"/>
        </w:rPr>
        <w:t xml:space="preserve">phase III </w:t>
      </w:r>
      <w:r w:rsidR="009A0FB8">
        <w:rPr>
          <w:sz w:val="22"/>
          <w:szCs w:val="22"/>
        </w:rPr>
        <w:t>setting</w:t>
      </w:r>
      <w:r w:rsidR="00A57334">
        <w:rPr>
          <w:sz w:val="22"/>
          <w:szCs w:val="22"/>
        </w:rPr>
        <w:t xml:space="preserve"> vs. borrowing for a non-pivotal trial </w:t>
      </w:r>
    </w:p>
    <w:p w14:paraId="14287179" w14:textId="77777777" w:rsidR="009B4393" w:rsidRDefault="009B4393">
      <w:pPr>
        <w:rPr>
          <w:sz w:val="22"/>
          <w:szCs w:val="22"/>
        </w:rPr>
      </w:pPr>
      <w:r>
        <w:rPr>
          <w:sz w:val="22"/>
          <w:szCs w:val="22"/>
        </w:rPr>
        <w:br w:type="page"/>
      </w:r>
    </w:p>
    <w:p w14:paraId="133CC5EC" w14:textId="68834AF9" w:rsidR="00666401" w:rsidRPr="001F7AD0" w:rsidRDefault="009B4393" w:rsidP="009B4393">
      <w:pPr>
        <w:autoSpaceDE w:val="0"/>
        <w:autoSpaceDN w:val="0"/>
        <w:adjustRightInd w:val="0"/>
        <w:spacing w:after="0" w:line="240" w:lineRule="auto"/>
        <w:rPr>
          <w:b/>
          <w:bCs/>
          <w:sz w:val="22"/>
          <w:szCs w:val="22"/>
        </w:rPr>
      </w:pPr>
      <w:r w:rsidRPr="001F7AD0">
        <w:rPr>
          <w:b/>
          <w:bCs/>
          <w:sz w:val="22"/>
          <w:szCs w:val="22"/>
        </w:rPr>
        <w:lastRenderedPageBreak/>
        <w:t>Additional material</w:t>
      </w:r>
    </w:p>
    <w:p w14:paraId="0FE01477" w14:textId="227DE330" w:rsidR="009B4393" w:rsidRDefault="009B4393" w:rsidP="009B4393">
      <w:pPr>
        <w:autoSpaceDE w:val="0"/>
        <w:autoSpaceDN w:val="0"/>
        <w:adjustRightInd w:val="0"/>
        <w:spacing w:after="0" w:line="240" w:lineRule="auto"/>
        <w:rPr>
          <w:sz w:val="22"/>
          <w:szCs w:val="22"/>
        </w:rPr>
      </w:pPr>
    </w:p>
    <w:p w14:paraId="494AFF30" w14:textId="77777777" w:rsidR="009B4393" w:rsidRPr="002234FF" w:rsidRDefault="009B4393" w:rsidP="009B4393">
      <w:pPr>
        <w:rPr>
          <w:sz w:val="22"/>
          <w:szCs w:val="22"/>
          <w:u w:val="single"/>
        </w:rPr>
      </w:pPr>
      <w:r w:rsidRPr="002234FF">
        <w:rPr>
          <w:sz w:val="22"/>
          <w:szCs w:val="22"/>
          <w:u w:val="single"/>
        </w:rPr>
        <w:t xml:space="preserve">Study </w:t>
      </w:r>
      <w:r>
        <w:rPr>
          <w:sz w:val="22"/>
          <w:szCs w:val="22"/>
          <w:u w:val="single"/>
        </w:rPr>
        <w:t>A</w:t>
      </w:r>
    </w:p>
    <w:p w14:paraId="5D2C9FF7" w14:textId="6DC39E82" w:rsidR="009B4393" w:rsidRPr="002234FF" w:rsidRDefault="009B4393" w:rsidP="009B4393">
      <w:pPr>
        <w:spacing w:after="0" w:line="240" w:lineRule="auto"/>
        <w:rPr>
          <w:sz w:val="22"/>
          <w:szCs w:val="22"/>
        </w:rPr>
      </w:pPr>
      <w:r w:rsidRPr="002234FF">
        <w:rPr>
          <w:sz w:val="22"/>
          <w:szCs w:val="22"/>
        </w:rPr>
        <w:t xml:space="preserve">The primary objective of this trial is to evaluate the effect of NEWTRT compared to placebo on the change from baseline in mean monthly migraine days in subjects with EM. This is a phase 3, multicenter, randomized, double-blind, placebo-controlled, parallel group study of subjects with EM. Eligible subjects identified in the screening phase commence a 4-week baseline phase. After the baseline period, eligible subjects </w:t>
      </w:r>
      <w:r>
        <w:rPr>
          <w:sz w:val="22"/>
          <w:szCs w:val="22"/>
        </w:rPr>
        <w:t>are</w:t>
      </w:r>
      <w:r w:rsidRPr="002234FF">
        <w:rPr>
          <w:sz w:val="22"/>
          <w:szCs w:val="22"/>
        </w:rPr>
        <w:t xml:space="preserve"> randomized in a 1:1 ratio to receive placebo</w:t>
      </w:r>
      <w:r w:rsidR="00544F98">
        <w:rPr>
          <w:sz w:val="22"/>
          <w:szCs w:val="22"/>
        </w:rPr>
        <w:t xml:space="preserve"> or </w:t>
      </w:r>
      <w:r w:rsidRPr="002234FF">
        <w:rPr>
          <w:sz w:val="22"/>
          <w:szCs w:val="22"/>
        </w:rPr>
        <w:t xml:space="preserve">NEWTRT </w:t>
      </w:r>
      <w:r>
        <w:rPr>
          <w:sz w:val="22"/>
          <w:szCs w:val="22"/>
        </w:rPr>
        <w:t>Dose_3</w:t>
      </w:r>
      <w:r w:rsidRPr="002234FF">
        <w:rPr>
          <w:sz w:val="22"/>
          <w:szCs w:val="22"/>
        </w:rPr>
        <w:t xml:space="preserve"> for the duration of the 24-week double-blind treatment phase. Randomization </w:t>
      </w:r>
      <w:r>
        <w:rPr>
          <w:sz w:val="22"/>
          <w:szCs w:val="22"/>
        </w:rPr>
        <w:t>i</w:t>
      </w:r>
      <w:r w:rsidRPr="002234FF">
        <w:rPr>
          <w:sz w:val="22"/>
          <w:szCs w:val="22"/>
        </w:rPr>
        <w:t>s stratified by region (North America or ‘Other’) and treatment status with migraine prophylactic medication (prior only, current, or neither prior nor current).</w:t>
      </w:r>
    </w:p>
    <w:p w14:paraId="1401A42B" w14:textId="77777777" w:rsidR="009B4393" w:rsidRPr="002234FF" w:rsidRDefault="009B4393" w:rsidP="009B4393">
      <w:pPr>
        <w:spacing w:after="0" w:line="240" w:lineRule="auto"/>
        <w:rPr>
          <w:sz w:val="22"/>
          <w:szCs w:val="22"/>
        </w:rPr>
      </w:pPr>
    </w:p>
    <w:p w14:paraId="1E03CC81" w14:textId="2E04AFE9" w:rsidR="009B4393" w:rsidRPr="002234FF" w:rsidRDefault="009B4393" w:rsidP="009B4393">
      <w:pPr>
        <w:spacing w:after="0" w:line="240" w:lineRule="auto"/>
        <w:rPr>
          <w:sz w:val="22"/>
          <w:szCs w:val="22"/>
        </w:rPr>
      </w:pPr>
      <w:r w:rsidRPr="002234FF">
        <w:rPr>
          <w:sz w:val="22"/>
          <w:szCs w:val="22"/>
        </w:rPr>
        <w:t>Eligible subjects are adults 18 to 65 years of age with history of migraine with or without aura for ≥ 12 months who experienced &gt;= 4 to &lt; 15 migraine days per month with &lt; 15 headache days per month.  Approximately 852 eligible subjects are planned to be randomized, in a 1:1 ratio to the treatment groups</w:t>
      </w:r>
    </w:p>
    <w:p w14:paraId="12C94443" w14:textId="77777777" w:rsidR="009B4393" w:rsidRPr="002234FF" w:rsidRDefault="009B4393" w:rsidP="009B4393">
      <w:pPr>
        <w:spacing w:after="0" w:line="240" w:lineRule="auto"/>
        <w:rPr>
          <w:sz w:val="22"/>
          <w:szCs w:val="22"/>
        </w:rPr>
      </w:pPr>
    </w:p>
    <w:p w14:paraId="4E4C782F" w14:textId="77777777" w:rsidR="009B4393" w:rsidRPr="002234FF" w:rsidRDefault="009B4393" w:rsidP="009B4393">
      <w:pPr>
        <w:spacing w:after="0" w:line="240" w:lineRule="auto"/>
        <w:rPr>
          <w:sz w:val="22"/>
          <w:szCs w:val="22"/>
        </w:rPr>
      </w:pPr>
      <w:r w:rsidRPr="002234FF">
        <w:rPr>
          <w:sz w:val="22"/>
          <w:szCs w:val="22"/>
        </w:rPr>
        <w:t xml:space="preserve">The primary endpoint for this study </w:t>
      </w:r>
      <w:r>
        <w:rPr>
          <w:sz w:val="22"/>
          <w:szCs w:val="22"/>
        </w:rPr>
        <w:t>i</w:t>
      </w:r>
      <w:r w:rsidRPr="002234FF">
        <w:rPr>
          <w:sz w:val="22"/>
          <w:szCs w:val="22"/>
        </w:rPr>
        <w:t>s change in MMD from</w:t>
      </w:r>
      <w:r>
        <w:rPr>
          <w:sz w:val="22"/>
          <w:szCs w:val="22"/>
        </w:rPr>
        <w:t xml:space="preserve"> </w:t>
      </w:r>
      <w:r w:rsidRPr="002234FF">
        <w:rPr>
          <w:sz w:val="22"/>
          <w:szCs w:val="22"/>
        </w:rPr>
        <w:t>baseline to the last 3 months of the 24-week double-blind treatment phase.</w:t>
      </w:r>
    </w:p>
    <w:p w14:paraId="528166A1" w14:textId="77777777" w:rsidR="009B4393" w:rsidRPr="009B4393" w:rsidRDefault="009B4393" w:rsidP="009B4393">
      <w:pPr>
        <w:autoSpaceDE w:val="0"/>
        <w:autoSpaceDN w:val="0"/>
        <w:adjustRightInd w:val="0"/>
        <w:spacing w:after="0" w:line="240" w:lineRule="auto"/>
        <w:rPr>
          <w:sz w:val="22"/>
          <w:szCs w:val="22"/>
        </w:rPr>
      </w:pPr>
    </w:p>
    <w:sectPr w:rsidR="009B4393" w:rsidRPr="009B4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52ED0" w14:textId="77777777" w:rsidR="006F6582" w:rsidRDefault="006F6582" w:rsidP="00B62C8F">
      <w:pPr>
        <w:spacing w:after="0" w:line="240" w:lineRule="auto"/>
      </w:pPr>
      <w:r>
        <w:separator/>
      </w:r>
    </w:p>
  </w:endnote>
  <w:endnote w:type="continuationSeparator" w:id="0">
    <w:p w14:paraId="70540DC7" w14:textId="77777777" w:rsidR="006F6582" w:rsidRDefault="006F6582" w:rsidP="00B62C8F">
      <w:pPr>
        <w:spacing w:after="0" w:line="240" w:lineRule="auto"/>
      </w:pPr>
      <w:r>
        <w:continuationSeparator/>
      </w:r>
    </w:p>
  </w:endnote>
  <w:endnote w:type="continuationNotice" w:id="1">
    <w:p w14:paraId="4301EBE4" w14:textId="77777777" w:rsidR="006F6582" w:rsidRDefault="006F6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ADC36" w14:textId="77777777" w:rsidR="006F6582" w:rsidRDefault="006F6582" w:rsidP="00B62C8F">
      <w:pPr>
        <w:spacing w:after="0" w:line="240" w:lineRule="auto"/>
      </w:pPr>
      <w:r>
        <w:separator/>
      </w:r>
    </w:p>
  </w:footnote>
  <w:footnote w:type="continuationSeparator" w:id="0">
    <w:p w14:paraId="54D72E3F" w14:textId="77777777" w:rsidR="006F6582" w:rsidRDefault="006F6582" w:rsidP="00B62C8F">
      <w:pPr>
        <w:spacing w:after="0" w:line="240" w:lineRule="auto"/>
      </w:pPr>
      <w:r>
        <w:continuationSeparator/>
      </w:r>
    </w:p>
  </w:footnote>
  <w:footnote w:type="continuationNotice" w:id="1">
    <w:p w14:paraId="0C3DDBB9" w14:textId="77777777" w:rsidR="006F6582" w:rsidRDefault="006F65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91048"/>
    <w:multiLevelType w:val="hybridMultilevel"/>
    <w:tmpl w:val="797E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E1ED5"/>
    <w:multiLevelType w:val="hybridMultilevel"/>
    <w:tmpl w:val="F54E4778"/>
    <w:lvl w:ilvl="0" w:tplc="2A94E0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3637E9B"/>
    <w:multiLevelType w:val="hybridMultilevel"/>
    <w:tmpl w:val="925AEF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6C23A5"/>
    <w:multiLevelType w:val="hybridMultilevel"/>
    <w:tmpl w:val="C346E3E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C87207B"/>
    <w:multiLevelType w:val="hybridMultilevel"/>
    <w:tmpl w:val="6D12CA6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3AE0E5F"/>
    <w:multiLevelType w:val="hybridMultilevel"/>
    <w:tmpl w:val="23780DF6"/>
    <w:lvl w:ilvl="0" w:tplc="2A94E042">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62E58B0"/>
    <w:multiLevelType w:val="hybridMultilevel"/>
    <w:tmpl w:val="513E223C"/>
    <w:lvl w:ilvl="0" w:tplc="7EB6A8AC">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F03306B"/>
    <w:multiLevelType w:val="hybridMultilevel"/>
    <w:tmpl w:val="77905ECC"/>
    <w:lvl w:ilvl="0" w:tplc="F81276EA">
      <w:start w:val="1"/>
      <w:numFmt w:val="bullet"/>
      <w:lvlText w:val=""/>
      <w:lvlJc w:val="left"/>
      <w:pPr>
        <w:ind w:left="1080" w:hanging="360"/>
      </w:pPr>
      <w:rPr>
        <w:rFonts w:ascii="Symbol" w:eastAsiaTheme="minorHAnsi" w:hAnsi="Symbo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7B2229EF"/>
    <w:multiLevelType w:val="hybridMultilevel"/>
    <w:tmpl w:val="D696BB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8F"/>
    <w:rsid w:val="00010A98"/>
    <w:rsid w:val="00030577"/>
    <w:rsid w:val="00042A82"/>
    <w:rsid w:val="000507F8"/>
    <w:rsid w:val="000518BC"/>
    <w:rsid w:val="0006382B"/>
    <w:rsid w:val="00063A91"/>
    <w:rsid w:val="000668F0"/>
    <w:rsid w:val="00082F9F"/>
    <w:rsid w:val="00093B2F"/>
    <w:rsid w:val="000C201F"/>
    <w:rsid w:val="000C75BA"/>
    <w:rsid w:val="000D0537"/>
    <w:rsid w:val="000D687B"/>
    <w:rsid w:val="000E4ED1"/>
    <w:rsid w:val="000F1BB2"/>
    <w:rsid w:val="001069F4"/>
    <w:rsid w:val="001072B2"/>
    <w:rsid w:val="001256A3"/>
    <w:rsid w:val="00132842"/>
    <w:rsid w:val="00151787"/>
    <w:rsid w:val="00153623"/>
    <w:rsid w:val="001555BD"/>
    <w:rsid w:val="00161D68"/>
    <w:rsid w:val="001740DA"/>
    <w:rsid w:val="001807E6"/>
    <w:rsid w:val="00181F97"/>
    <w:rsid w:val="00191DB5"/>
    <w:rsid w:val="001A7821"/>
    <w:rsid w:val="001C2D8D"/>
    <w:rsid w:val="001C44B8"/>
    <w:rsid w:val="001C540A"/>
    <w:rsid w:val="001C7B73"/>
    <w:rsid w:val="001F7676"/>
    <w:rsid w:val="001F7AD0"/>
    <w:rsid w:val="002234FF"/>
    <w:rsid w:val="00227E83"/>
    <w:rsid w:val="00236F35"/>
    <w:rsid w:val="00251C69"/>
    <w:rsid w:val="002572A9"/>
    <w:rsid w:val="002628B2"/>
    <w:rsid w:val="002653CB"/>
    <w:rsid w:val="00267A89"/>
    <w:rsid w:val="00275841"/>
    <w:rsid w:val="002833A2"/>
    <w:rsid w:val="00291223"/>
    <w:rsid w:val="002B75AB"/>
    <w:rsid w:val="002C7594"/>
    <w:rsid w:val="002D5509"/>
    <w:rsid w:val="002E5CEE"/>
    <w:rsid w:val="002E7E68"/>
    <w:rsid w:val="002F6E15"/>
    <w:rsid w:val="00307E67"/>
    <w:rsid w:val="00317101"/>
    <w:rsid w:val="00324026"/>
    <w:rsid w:val="00324CC5"/>
    <w:rsid w:val="0033425B"/>
    <w:rsid w:val="00337A98"/>
    <w:rsid w:val="003658A8"/>
    <w:rsid w:val="00377D84"/>
    <w:rsid w:val="00380FCF"/>
    <w:rsid w:val="00390313"/>
    <w:rsid w:val="003906A4"/>
    <w:rsid w:val="003943BB"/>
    <w:rsid w:val="003B54EE"/>
    <w:rsid w:val="003C4E85"/>
    <w:rsid w:val="003F1A07"/>
    <w:rsid w:val="00403E5B"/>
    <w:rsid w:val="00407707"/>
    <w:rsid w:val="00411FA0"/>
    <w:rsid w:val="00440E33"/>
    <w:rsid w:val="00443085"/>
    <w:rsid w:val="00443A50"/>
    <w:rsid w:val="004473FF"/>
    <w:rsid w:val="00460DF5"/>
    <w:rsid w:val="00462E92"/>
    <w:rsid w:val="00472232"/>
    <w:rsid w:val="00496378"/>
    <w:rsid w:val="004A7E09"/>
    <w:rsid w:val="004B1309"/>
    <w:rsid w:val="004B196F"/>
    <w:rsid w:val="004C54EE"/>
    <w:rsid w:val="004D0E76"/>
    <w:rsid w:val="004D2F0B"/>
    <w:rsid w:val="004D2FCD"/>
    <w:rsid w:val="004E3778"/>
    <w:rsid w:val="004F245C"/>
    <w:rsid w:val="004F2A3A"/>
    <w:rsid w:val="004F6C59"/>
    <w:rsid w:val="005316A6"/>
    <w:rsid w:val="00544CCA"/>
    <w:rsid w:val="00544F98"/>
    <w:rsid w:val="00545814"/>
    <w:rsid w:val="00546DBB"/>
    <w:rsid w:val="00551721"/>
    <w:rsid w:val="00554244"/>
    <w:rsid w:val="0055460A"/>
    <w:rsid w:val="00561E93"/>
    <w:rsid w:val="0056447A"/>
    <w:rsid w:val="00567A1A"/>
    <w:rsid w:val="005748C8"/>
    <w:rsid w:val="0058330F"/>
    <w:rsid w:val="00591212"/>
    <w:rsid w:val="005937BC"/>
    <w:rsid w:val="005A0DB2"/>
    <w:rsid w:val="005A3431"/>
    <w:rsid w:val="005B626C"/>
    <w:rsid w:val="005C04FF"/>
    <w:rsid w:val="005C7868"/>
    <w:rsid w:val="005D39E8"/>
    <w:rsid w:val="005E6604"/>
    <w:rsid w:val="005F2F87"/>
    <w:rsid w:val="0060319D"/>
    <w:rsid w:val="006047D3"/>
    <w:rsid w:val="00610C98"/>
    <w:rsid w:val="00621DAA"/>
    <w:rsid w:val="00645146"/>
    <w:rsid w:val="00645C48"/>
    <w:rsid w:val="00655BCA"/>
    <w:rsid w:val="006566AC"/>
    <w:rsid w:val="00666401"/>
    <w:rsid w:val="00666C4B"/>
    <w:rsid w:val="0066756D"/>
    <w:rsid w:val="00670335"/>
    <w:rsid w:val="00674774"/>
    <w:rsid w:val="00686D1C"/>
    <w:rsid w:val="006907CE"/>
    <w:rsid w:val="006A35C3"/>
    <w:rsid w:val="006A690A"/>
    <w:rsid w:val="006A760B"/>
    <w:rsid w:val="006B2F62"/>
    <w:rsid w:val="006D327A"/>
    <w:rsid w:val="006F6582"/>
    <w:rsid w:val="00735AD5"/>
    <w:rsid w:val="0075098C"/>
    <w:rsid w:val="00751E31"/>
    <w:rsid w:val="00783248"/>
    <w:rsid w:val="00784C12"/>
    <w:rsid w:val="00790420"/>
    <w:rsid w:val="0079134C"/>
    <w:rsid w:val="00795609"/>
    <w:rsid w:val="007A1898"/>
    <w:rsid w:val="007A4027"/>
    <w:rsid w:val="007C133F"/>
    <w:rsid w:val="007D0E61"/>
    <w:rsid w:val="007D7AD5"/>
    <w:rsid w:val="007E2559"/>
    <w:rsid w:val="007F3E2C"/>
    <w:rsid w:val="00815131"/>
    <w:rsid w:val="00834158"/>
    <w:rsid w:val="008354CD"/>
    <w:rsid w:val="0084251E"/>
    <w:rsid w:val="0089190B"/>
    <w:rsid w:val="008921D4"/>
    <w:rsid w:val="0089685A"/>
    <w:rsid w:val="008B2C08"/>
    <w:rsid w:val="008B62E0"/>
    <w:rsid w:val="008C09EF"/>
    <w:rsid w:val="00905EF0"/>
    <w:rsid w:val="0092488A"/>
    <w:rsid w:val="009430B0"/>
    <w:rsid w:val="0094412B"/>
    <w:rsid w:val="0095061C"/>
    <w:rsid w:val="0096166B"/>
    <w:rsid w:val="00976C64"/>
    <w:rsid w:val="00980BE6"/>
    <w:rsid w:val="00993890"/>
    <w:rsid w:val="009A0FB8"/>
    <w:rsid w:val="009A33FC"/>
    <w:rsid w:val="009A7AE6"/>
    <w:rsid w:val="009B4393"/>
    <w:rsid w:val="009C57DB"/>
    <w:rsid w:val="009D3852"/>
    <w:rsid w:val="009D5692"/>
    <w:rsid w:val="009D7B90"/>
    <w:rsid w:val="00A15786"/>
    <w:rsid w:val="00A235AE"/>
    <w:rsid w:val="00A32F51"/>
    <w:rsid w:val="00A33951"/>
    <w:rsid w:val="00A35004"/>
    <w:rsid w:val="00A51D11"/>
    <w:rsid w:val="00A5372C"/>
    <w:rsid w:val="00A57334"/>
    <w:rsid w:val="00A63D60"/>
    <w:rsid w:val="00A63F73"/>
    <w:rsid w:val="00A66734"/>
    <w:rsid w:val="00A70516"/>
    <w:rsid w:val="00A71362"/>
    <w:rsid w:val="00A74B70"/>
    <w:rsid w:val="00A8208E"/>
    <w:rsid w:val="00A96963"/>
    <w:rsid w:val="00AC449C"/>
    <w:rsid w:val="00AF550D"/>
    <w:rsid w:val="00AF6990"/>
    <w:rsid w:val="00B00315"/>
    <w:rsid w:val="00B00D05"/>
    <w:rsid w:val="00B00FC7"/>
    <w:rsid w:val="00B163BA"/>
    <w:rsid w:val="00B223B5"/>
    <w:rsid w:val="00B33D31"/>
    <w:rsid w:val="00B373AA"/>
    <w:rsid w:val="00B37F0B"/>
    <w:rsid w:val="00B4503E"/>
    <w:rsid w:val="00B46C50"/>
    <w:rsid w:val="00B50CB7"/>
    <w:rsid w:val="00B50E08"/>
    <w:rsid w:val="00B62983"/>
    <w:rsid w:val="00B62C8F"/>
    <w:rsid w:val="00B80593"/>
    <w:rsid w:val="00B8390C"/>
    <w:rsid w:val="00B8793B"/>
    <w:rsid w:val="00B912D5"/>
    <w:rsid w:val="00B96102"/>
    <w:rsid w:val="00BA6258"/>
    <w:rsid w:val="00BD04C4"/>
    <w:rsid w:val="00C03E81"/>
    <w:rsid w:val="00C15612"/>
    <w:rsid w:val="00C17646"/>
    <w:rsid w:val="00C250C0"/>
    <w:rsid w:val="00C51FC2"/>
    <w:rsid w:val="00C55B6C"/>
    <w:rsid w:val="00C83A6A"/>
    <w:rsid w:val="00C96DC4"/>
    <w:rsid w:val="00CA15E9"/>
    <w:rsid w:val="00CB123E"/>
    <w:rsid w:val="00CC72B9"/>
    <w:rsid w:val="00CD2C98"/>
    <w:rsid w:val="00CE2D67"/>
    <w:rsid w:val="00CF4ADB"/>
    <w:rsid w:val="00D13B85"/>
    <w:rsid w:val="00D54B58"/>
    <w:rsid w:val="00D5627E"/>
    <w:rsid w:val="00D83E7E"/>
    <w:rsid w:val="00D85F43"/>
    <w:rsid w:val="00D91C83"/>
    <w:rsid w:val="00D92D8C"/>
    <w:rsid w:val="00D95C17"/>
    <w:rsid w:val="00DB069C"/>
    <w:rsid w:val="00DB4284"/>
    <w:rsid w:val="00DC0C97"/>
    <w:rsid w:val="00DD23AA"/>
    <w:rsid w:val="00DE5571"/>
    <w:rsid w:val="00DF7244"/>
    <w:rsid w:val="00E040F2"/>
    <w:rsid w:val="00E11613"/>
    <w:rsid w:val="00E1603D"/>
    <w:rsid w:val="00E3267A"/>
    <w:rsid w:val="00E340E0"/>
    <w:rsid w:val="00E37483"/>
    <w:rsid w:val="00E41AE2"/>
    <w:rsid w:val="00E44265"/>
    <w:rsid w:val="00E56030"/>
    <w:rsid w:val="00E64327"/>
    <w:rsid w:val="00E82E0D"/>
    <w:rsid w:val="00E948C4"/>
    <w:rsid w:val="00EA12F3"/>
    <w:rsid w:val="00EB0AB6"/>
    <w:rsid w:val="00EB48F5"/>
    <w:rsid w:val="00EC722B"/>
    <w:rsid w:val="00EF465F"/>
    <w:rsid w:val="00F01A7E"/>
    <w:rsid w:val="00F12875"/>
    <w:rsid w:val="00F213EF"/>
    <w:rsid w:val="00F232B3"/>
    <w:rsid w:val="00F24765"/>
    <w:rsid w:val="00F31D2E"/>
    <w:rsid w:val="00F31F57"/>
    <w:rsid w:val="00F31F85"/>
    <w:rsid w:val="00F400E8"/>
    <w:rsid w:val="00F40542"/>
    <w:rsid w:val="00F47789"/>
    <w:rsid w:val="00F5512C"/>
    <w:rsid w:val="00F83E24"/>
    <w:rsid w:val="00FA3116"/>
    <w:rsid w:val="00FA6BB1"/>
    <w:rsid w:val="00FC37B6"/>
    <w:rsid w:val="00FD7F73"/>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54C6"/>
  <w15:chartTrackingRefBased/>
  <w15:docId w15:val="{E879E567-93AB-4915-BF8A-4D5B2668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542"/>
    <w:pPr>
      <w:ind w:left="720"/>
      <w:contextualSpacing/>
    </w:pPr>
  </w:style>
  <w:style w:type="character" w:styleId="CommentReference">
    <w:name w:val="annotation reference"/>
    <w:basedOn w:val="DefaultParagraphFont"/>
    <w:uiPriority w:val="99"/>
    <w:semiHidden/>
    <w:unhideWhenUsed/>
    <w:rsid w:val="002B75AB"/>
    <w:rPr>
      <w:sz w:val="16"/>
      <w:szCs w:val="16"/>
    </w:rPr>
  </w:style>
  <w:style w:type="paragraph" w:styleId="CommentText">
    <w:name w:val="annotation text"/>
    <w:basedOn w:val="Normal"/>
    <w:link w:val="CommentTextChar"/>
    <w:uiPriority w:val="99"/>
    <w:semiHidden/>
    <w:unhideWhenUsed/>
    <w:rsid w:val="002B75AB"/>
    <w:pPr>
      <w:spacing w:line="240" w:lineRule="auto"/>
    </w:pPr>
  </w:style>
  <w:style w:type="character" w:customStyle="1" w:styleId="CommentTextChar">
    <w:name w:val="Comment Text Char"/>
    <w:basedOn w:val="DefaultParagraphFont"/>
    <w:link w:val="CommentText"/>
    <w:uiPriority w:val="99"/>
    <w:semiHidden/>
    <w:rsid w:val="002B75AB"/>
  </w:style>
  <w:style w:type="paragraph" w:styleId="CommentSubject">
    <w:name w:val="annotation subject"/>
    <w:basedOn w:val="CommentText"/>
    <w:next w:val="CommentText"/>
    <w:link w:val="CommentSubjectChar"/>
    <w:uiPriority w:val="99"/>
    <w:semiHidden/>
    <w:unhideWhenUsed/>
    <w:rsid w:val="002B75AB"/>
    <w:rPr>
      <w:b/>
      <w:bCs/>
    </w:rPr>
  </w:style>
  <w:style w:type="character" w:customStyle="1" w:styleId="CommentSubjectChar">
    <w:name w:val="Comment Subject Char"/>
    <w:basedOn w:val="CommentTextChar"/>
    <w:link w:val="CommentSubject"/>
    <w:uiPriority w:val="99"/>
    <w:semiHidden/>
    <w:rsid w:val="002B75AB"/>
    <w:rPr>
      <w:b/>
      <w:bCs/>
    </w:rPr>
  </w:style>
  <w:style w:type="character" w:customStyle="1" w:styleId="VerbatimChar">
    <w:name w:val="Verbatim Char"/>
    <w:basedOn w:val="DefaultParagraphFont"/>
    <w:link w:val="SourceCode"/>
    <w:rsid w:val="008B2C08"/>
    <w:rPr>
      <w:rFonts w:ascii="Consolas" w:hAnsi="Consolas"/>
      <w:sz w:val="22"/>
      <w:shd w:val="clear" w:color="auto" w:fill="F8F8F8"/>
    </w:rPr>
  </w:style>
  <w:style w:type="paragraph" w:customStyle="1" w:styleId="SourceCode">
    <w:name w:val="Source Code"/>
    <w:basedOn w:val="Normal"/>
    <w:link w:val="VerbatimChar"/>
    <w:rsid w:val="008B2C08"/>
    <w:pPr>
      <w:shd w:val="clear" w:color="auto" w:fill="F8F8F8"/>
      <w:wordWrap w:val="0"/>
      <w:spacing w:after="200" w:line="240" w:lineRule="auto"/>
    </w:pPr>
    <w:rPr>
      <w:rFonts w:ascii="Consolas" w:hAnsi="Consolas"/>
      <w:sz w:val="22"/>
    </w:rPr>
  </w:style>
  <w:style w:type="character" w:customStyle="1" w:styleId="FloatTok">
    <w:name w:val="FloatTok"/>
    <w:basedOn w:val="VerbatimChar"/>
    <w:rsid w:val="008B2C08"/>
    <w:rPr>
      <w:rFonts w:ascii="Consolas" w:hAnsi="Consolas"/>
      <w:color w:val="0000CF"/>
      <w:sz w:val="22"/>
      <w:shd w:val="clear" w:color="auto" w:fill="F8F8F8"/>
    </w:rPr>
  </w:style>
  <w:style w:type="character" w:customStyle="1" w:styleId="ConstantTok">
    <w:name w:val="ConstantTok"/>
    <w:basedOn w:val="VerbatimChar"/>
    <w:rsid w:val="008B2C08"/>
    <w:rPr>
      <w:rFonts w:ascii="Consolas" w:hAnsi="Consolas"/>
      <w:color w:val="000000"/>
      <w:sz w:val="22"/>
      <w:shd w:val="clear" w:color="auto" w:fill="F8F8F8"/>
    </w:rPr>
  </w:style>
  <w:style w:type="character" w:customStyle="1" w:styleId="SpecialCharTok">
    <w:name w:val="SpecialCharTok"/>
    <w:basedOn w:val="VerbatimChar"/>
    <w:rsid w:val="008B2C08"/>
    <w:rPr>
      <w:rFonts w:ascii="Consolas" w:hAnsi="Consolas"/>
      <w:color w:val="000000"/>
      <w:sz w:val="22"/>
      <w:shd w:val="clear" w:color="auto" w:fill="F8F8F8"/>
    </w:rPr>
  </w:style>
  <w:style w:type="character" w:customStyle="1" w:styleId="StringTok">
    <w:name w:val="StringTok"/>
    <w:basedOn w:val="VerbatimChar"/>
    <w:rsid w:val="008B2C08"/>
    <w:rPr>
      <w:rFonts w:ascii="Consolas" w:hAnsi="Consolas"/>
      <w:color w:val="4E9A06"/>
      <w:sz w:val="22"/>
      <w:shd w:val="clear" w:color="auto" w:fill="F8F8F8"/>
    </w:rPr>
  </w:style>
  <w:style w:type="character" w:customStyle="1" w:styleId="OtherTok">
    <w:name w:val="OtherTok"/>
    <w:basedOn w:val="VerbatimChar"/>
    <w:rsid w:val="008B2C08"/>
    <w:rPr>
      <w:rFonts w:ascii="Consolas" w:hAnsi="Consolas"/>
      <w:color w:val="8F5902"/>
      <w:sz w:val="22"/>
      <w:shd w:val="clear" w:color="auto" w:fill="F8F8F8"/>
    </w:rPr>
  </w:style>
  <w:style w:type="character" w:customStyle="1" w:styleId="FunctionTok">
    <w:name w:val="FunctionTok"/>
    <w:basedOn w:val="VerbatimChar"/>
    <w:rsid w:val="008B2C08"/>
    <w:rPr>
      <w:rFonts w:ascii="Consolas" w:hAnsi="Consolas"/>
      <w:color w:val="000000"/>
      <w:sz w:val="22"/>
      <w:shd w:val="clear" w:color="auto" w:fill="F8F8F8"/>
    </w:rPr>
  </w:style>
  <w:style w:type="character" w:customStyle="1" w:styleId="AttributeTok">
    <w:name w:val="AttributeTok"/>
    <w:basedOn w:val="VerbatimChar"/>
    <w:rsid w:val="008B2C08"/>
    <w:rPr>
      <w:rFonts w:ascii="Consolas" w:hAnsi="Consolas"/>
      <w:color w:val="C4A000"/>
      <w:sz w:val="22"/>
      <w:shd w:val="clear" w:color="auto" w:fill="F8F8F8"/>
    </w:rPr>
  </w:style>
  <w:style w:type="character" w:customStyle="1" w:styleId="NormalTok">
    <w:name w:val="NormalTok"/>
    <w:basedOn w:val="VerbatimChar"/>
    <w:rsid w:val="008B2C08"/>
    <w:rPr>
      <w:rFonts w:ascii="Consolas" w:hAnsi="Consolas"/>
      <w:sz w:val="22"/>
      <w:shd w:val="clear" w:color="auto" w:fill="F8F8F8"/>
    </w:rPr>
  </w:style>
  <w:style w:type="character" w:customStyle="1" w:styleId="DecValTok">
    <w:name w:val="DecValTok"/>
    <w:basedOn w:val="VerbatimChar"/>
    <w:rsid w:val="000518BC"/>
    <w:rPr>
      <w:rFonts w:ascii="Consolas" w:hAnsi="Consolas"/>
      <w:color w:val="0000CF"/>
      <w:sz w:val="22"/>
      <w:shd w:val="clear" w:color="auto" w:fill="F8F8F8"/>
    </w:rPr>
  </w:style>
  <w:style w:type="character" w:customStyle="1" w:styleId="CommentTok">
    <w:name w:val="CommentTok"/>
    <w:basedOn w:val="VerbatimChar"/>
    <w:rsid w:val="000518BC"/>
    <w:rPr>
      <w:rFonts w:ascii="Consolas" w:hAnsi="Consolas"/>
      <w:i/>
      <w:color w:val="8F5902"/>
      <w:sz w:val="22"/>
      <w:shd w:val="clear" w:color="auto" w:fill="F8F8F8"/>
    </w:rPr>
  </w:style>
  <w:style w:type="paragraph" w:styleId="Revision">
    <w:name w:val="Revision"/>
    <w:hidden/>
    <w:uiPriority w:val="99"/>
    <w:semiHidden/>
    <w:rsid w:val="00784C12"/>
    <w:pPr>
      <w:spacing w:after="0" w:line="240" w:lineRule="auto"/>
    </w:pPr>
  </w:style>
  <w:style w:type="paragraph" w:styleId="Header">
    <w:name w:val="header"/>
    <w:basedOn w:val="Normal"/>
    <w:link w:val="HeaderChar"/>
    <w:uiPriority w:val="99"/>
    <w:semiHidden/>
    <w:unhideWhenUsed/>
    <w:rsid w:val="004D2FC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D2FCD"/>
  </w:style>
  <w:style w:type="paragraph" w:styleId="Footer">
    <w:name w:val="footer"/>
    <w:basedOn w:val="Normal"/>
    <w:link w:val="FooterChar"/>
    <w:uiPriority w:val="99"/>
    <w:semiHidden/>
    <w:unhideWhenUsed/>
    <w:rsid w:val="004D2FC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D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9659</Characters>
  <Application>Microsoft Office Word</Application>
  <DocSecurity>0</DocSecurity>
  <Lines>292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Wandel, Simon</cp:lastModifiedBy>
  <cp:revision>59</cp:revision>
  <dcterms:created xsi:type="dcterms:W3CDTF">2022-05-19T07:50:00Z</dcterms:created>
  <dcterms:modified xsi:type="dcterms:W3CDTF">2022-06-12T14:28:00Z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2022-04-27T12:38:24Z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82e36308-3065-4666-acd8-903242c238e4</vt:lpwstr>
  </property>
  <property fmtid="{D5CDD505-2E9C-101B-9397-08002B2CF9AE}" pid="8" name="MSIP_Label_3c9bec58-8084-492e-8360-0e1cfe36408c_ContentBits">
    <vt:lpwstr>0</vt:lpwstr>
  </property>
</Properties>
</file>