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C4E" w:rsidRDefault="003249ED">
      <w:pPr>
        <w:rPr>
          <w:rFonts w:ascii="Minion" w:hAnsi="Minion"/>
        </w:rPr>
      </w:pPr>
      <w:r>
        <w:rPr>
          <w:rFonts w:ascii="Minion" w:hAnsi="Minion"/>
        </w:rPr>
        <w:t xml:space="preserve">PSI One Day Meeting: </w:t>
      </w:r>
      <w:r w:rsidR="00216778">
        <w:rPr>
          <w:rFonts w:ascii="Minion" w:hAnsi="Minion"/>
        </w:rPr>
        <w:t xml:space="preserve">Immunology </w:t>
      </w:r>
      <w:r w:rsidR="002F4C4E">
        <w:rPr>
          <w:rFonts w:ascii="Minion" w:hAnsi="Minion"/>
        </w:rPr>
        <w:t>Disease</w:t>
      </w:r>
      <w:r w:rsidR="00216778">
        <w:rPr>
          <w:rFonts w:ascii="Minion" w:hAnsi="Minion"/>
        </w:rPr>
        <w:t>s</w:t>
      </w:r>
    </w:p>
    <w:p w:rsidR="003249ED" w:rsidRDefault="006660C5">
      <w:pPr>
        <w:rPr>
          <w:rFonts w:ascii="Minion" w:hAnsi="Minion"/>
        </w:rPr>
      </w:pPr>
      <w:r>
        <w:rPr>
          <w:rFonts w:ascii="Minion" w:hAnsi="Minion"/>
        </w:rPr>
        <w:t>Friday 17</w:t>
      </w:r>
      <w:r w:rsidR="0089028D" w:rsidRPr="0089028D">
        <w:rPr>
          <w:rFonts w:ascii="Minion" w:hAnsi="Minion"/>
          <w:vertAlign w:val="superscript"/>
        </w:rPr>
        <w:t>th</w:t>
      </w:r>
      <w:r w:rsidR="0089028D">
        <w:rPr>
          <w:rFonts w:ascii="Minion" w:hAnsi="Minion"/>
        </w:rPr>
        <w:t xml:space="preserve"> </w:t>
      </w:r>
      <w:r>
        <w:rPr>
          <w:rFonts w:ascii="Minion" w:hAnsi="Minion"/>
        </w:rPr>
        <w:t>June</w:t>
      </w:r>
      <w:r w:rsidR="00572EB0">
        <w:rPr>
          <w:rFonts w:ascii="Minion" w:hAnsi="Minion"/>
        </w:rPr>
        <w:t xml:space="preserve"> </w:t>
      </w:r>
      <w:r w:rsidR="002F4C4E">
        <w:rPr>
          <w:rFonts w:ascii="Minion" w:hAnsi="Minion"/>
        </w:rPr>
        <w:t xml:space="preserve">- </w:t>
      </w:r>
      <w:r w:rsidR="001D627A">
        <w:rPr>
          <w:rFonts w:ascii="Minion" w:hAnsi="Minion"/>
        </w:rPr>
        <w:t>Roche Products Limited, 6 F</w:t>
      </w:r>
      <w:r w:rsidR="003249ED">
        <w:rPr>
          <w:rFonts w:ascii="Minion" w:hAnsi="Minion"/>
        </w:rPr>
        <w:t>a</w:t>
      </w:r>
      <w:r w:rsidR="001D627A">
        <w:rPr>
          <w:rFonts w:ascii="Minion" w:hAnsi="Minion"/>
        </w:rPr>
        <w:t>l</w:t>
      </w:r>
      <w:r w:rsidR="003249ED">
        <w:rPr>
          <w:rFonts w:ascii="Minion" w:hAnsi="Minion"/>
        </w:rPr>
        <w:t xml:space="preserve">con Way, Shire Park, </w:t>
      </w:r>
      <w:proofErr w:type="spellStart"/>
      <w:r w:rsidR="003249ED">
        <w:rPr>
          <w:rFonts w:ascii="Minion" w:hAnsi="Minion"/>
        </w:rPr>
        <w:t>Welwyn</w:t>
      </w:r>
      <w:proofErr w:type="spellEnd"/>
      <w:r w:rsidR="003249ED">
        <w:rPr>
          <w:rFonts w:ascii="Minion" w:hAnsi="Minion"/>
        </w:rPr>
        <w:t xml:space="preserve"> Garden City, Al7 1TW</w:t>
      </w:r>
    </w:p>
    <w:p w:rsidR="003249ED" w:rsidRDefault="00DA5B60">
      <w:pPr>
        <w:rPr>
          <w:rFonts w:ascii="Arial" w:hAnsi="Arial" w:cs="Arial"/>
          <w:color w:val="222222"/>
          <w:sz w:val="20"/>
          <w:szCs w:val="20"/>
          <w:shd w:val="clear" w:color="auto" w:fill="FFFFFF"/>
        </w:rPr>
      </w:pPr>
      <w:r w:rsidRPr="00DA5B60">
        <w:rPr>
          <w:rFonts w:ascii="Arial" w:hAnsi="Arial" w:cs="Arial"/>
          <w:bCs/>
          <w:color w:val="252525"/>
          <w:sz w:val="21"/>
          <w:szCs w:val="21"/>
          <w:shd w:val="clear" w:color="auto" w:fill="FFFFFF"/>
        </w:rPr>
        <w:t>Immunology</w:t>
      </w:r>
      <w:r>
        <w:rPr>
          <w:rStyle w:val="apple-converted-space"/>
          <w:rFonts w:ascii="Arial" w:hAnsi="Arial" w:cs="Arial"/>
          <w:color w:val="252525"/>
          <w:sz w:val="21"/>
          <w:szCs w:val="21"/>
          <w:shd w:val="clear" w:color="auto" w:fill="FFFFFF"/>
        </w:rPr>
        <w:t> </w:t>
      </w:r>
      <w:r>
        <w:rPr>
          <w:rFonts w:ascii="Arial" w:hAnsi="Arial" w:cs="Arial"/>
          <w:color w:val="252525"/>
          <w:sz w:val="21"/>
          <w:szCs w:val="21"/>
          <w:shd w:val="clear" w:color="auto" w:fill="FFFFFF"/>
        </w:rPr>
        <w:t>is a branch of</w:t>
      </w:r>
      <w:r>
        <w:rPr>
          <w:rStyle w:val="apple-converted-space"/>
          <w:rFonts w:ascii="Arial" w:hAnsi="Arial" w:cs="Arial"/>
          <w:color w:val="252525"/>
          <w:sz w:val="21"/>
          <w:szCs w:val="21"/>
          <w:shd w:val="clear" w:color="auto" w:fill="FFFFFF"/>
        </w:rPr>
        <w:t> biomedical science</w:t>
      </w:r>
      <w:r>
        <w:rPr>
          <w:rFonts w:ascii="Arial" w:hAnsi="Arial" w:cs="Arial"/>
          <w:color w:val="252525"/>
          <w:sz w:val="21"/>
          <w:szCs w:val="21"/>
          <w:shd w:val="clear" w:color="auto" w:fill="FFFFFF"/>
        </w:rPr>
        <w:t xml:space="preserve"> that covers the study of all aspects of the immune </w:t>
      </w:r>
      <w:r w:rsidR="00A56445">
        <w:rPr>
          <w:rFonts w:ascii="Arial" w:hAnsi="Arial" w:cs="Arial"/>
          <w:color w:val="252525"/>
          <w:sz w:val="21"/>
          <w:szCs w:val="21"/>
          <w:shd w:val="clear" w:color="auto" w:fill="FFFFFF"/>
        </w:rPr>
        <w:t>system;</w:t>
      </w:r>
      <w:r>
        <w:rPr>
          <w:rFonts w:ascii="Arial" w:hAnsi="Arial" w:cs="Arial"/>
          <w:color w:val="252525"/>
          <w:sz w:val="21"/>
          <w:szCs w:val="21"/>
          <w:shd w:val="clear" w:color="auto" w:fill="FFFFFF"/>
        </w:rPr>
        <w:t xml:space="preserve"> this may include autoimmune diseases, such as </w:t>
      </w:r>
      <w:r w:rsidR="00A56445">
        <w:rPr>
          <w:rFonts w:ascii="Arial" w:hAnsi="Arial" w:cs="Arial"/>
          <w:color w:val="252525"/>
          <w:sz w:val="21"/>
          <w:szCs w:val="21"/>
          <w:shd w:val="clear" w:color="auto" w:fill="FFFFFF"/>
        </w:rPr>
        <w:t xml:space="preserve">Rheumatoid </w:t>
      </w:r>
      <w:r w:rsidR="00783D65">
        <w:rPr>
          <w:rFonts w:ascii="Arial" w:hAnsi="Arial" w:cs="Arial"/>
          <w:color w:val="252525"/>
          <w:sz w:val="21"/>
          <w:szCs w:val="21"/>
          <w:shd w:val="clear" w:color="auto" w:fill="FFFFFF"/>
        </w:rPr>
        <w:t>Arthritis</w:t>
      </w:r>
      <w:r w:rsidR="00A56445">
        <w:rPr>
          <w:rFonts w:ascii="Arial" w:hAnsi="Arial" w:cs="Arial"/>
          <w:color w:val="252525"/>
          <w:sz w:val="21"/>
          <w:szCs w:val="21"/>
          <w:shd w:val="clear" w:color="auto" w:fill="FFFFFF"/>
        </w:rPr>
        <w:t>; transplant rejection; infections</w:t>
      </w:r>
      <w:r>
        <w:rPr>
          <w:rFonts w:ascii="Arial" w:hAnsi="Arial" w:cs="Arial"/>
          <w:color w:val="252525"/>
          <w:sz w:val="21"/>
          <w:szCs w:val="21"/>
          <w:shd w:val="clear" w:color="auto" w:fill="FFFFFF"/>
        </w:rPr>
        <w:t xml:space="preserve">. </w:t>
      </w:r>
      <w:r w:rsidR="003249ED">
        <w:rPr>
          <w:rFonts w:ascii="Arial" w:hAnsi="Arial" w:cs="Arial"/>
          <w:color w:val="222222"/>
          <w:sz w:val="20"/>
          <w:szCs w:val="20"/>
          <w:shd w:val="clear" w:color="auto" w:fill="FFFFFF"/>
        </w:rPr>
        <w:t xml:space="preserve">During this one day meeting, PSI aims to cover a wide range of </w:t>
      </w:r>
      <w:r w:rsidR="007B633C">
        <w:rPr>
          <w:rFonts w:ascii="Arial" w:hAnsi="Arial" w:cs="Arial"/>
          <w:color w:val="222222"/>
          <w:sz w:val="20"/>
          <w:szCs w:val="20"/>
          <w:shd w:val="clear" w:color="auto" w:fill="FFFFFF"/>
        </w:rPr>
        <w:t>immunology</w:t>
      </w:r>
      <w:r w:rsidR="00A56445">
        <w:rPr>
          <w:rFonts w:ascii="Arial" w:hAnsi="Arial" w:cs="Arial"/>
          <w:color w:val="222222"/>
          <w:sz w:val="20"/>
          <w:szCs w:val="20"/>
          <w:shd w:val="clear" w:color="auto" w:fill="FFFFFF"/>
        </w:rPr>
        <w:t xml:space="preserve"> diseases,</w:t>
      </w:r>
      <w:r w:rsidR="003249ED">
        <w:rPr>
          <w:rFonts w:ascii="Arial" w:hAnsi="Arial" w:cs="Arial"/>
          <w:color w:val="222222"/>
          <w:sz w:val="20"/>
          <w:szCs w:val="20"/>
          <w:shd w:val="clear" w:color="auto" w:fill="FFFFFF"/>
        </w:rPr>
        <w:t xml:space="preserve"> design considerations</w:t>
      </w:r>
      <w:r w:rsidR="00A56445">
        <w:rPr>
          <w:rFonts w:ascii="Arial" w:hAnsi="Arial" w:cs="Arial"/>
          <w:color w:val="222222"/>
          <w:sz w:val="20"/>
          <w:szCs w:val="20"/>
          <w:shd w:val="clear" w:color="auto" w:fill="FFFFFF"/>
        </w:rPr>
        <w:t xml:space="preserve"> and statistical challenges</w:t>
      </w:r>
      <w:r w:rsidR="003249ED">
        <w:rPr>
          <w:rFonts w:ascii="Arial" w:hAnsi="Arial" w:cs="Arial"/>
          <w:color w:val="222222"/>
          <w:sz w:val="20"/>
          <w:szCs w:val="20"/>
          <w:shd w:val="clear" w:color="auto" w:fill="FFFFFF"/>
        </w:rPr>
        <w:t xml:space="preserve"> when working in this therapeutic area. We hope that sharing between different </w:t>
      </w:r>
      <w:r w:rsidR="002F4C4E">
        <w:rPr>
          <w:rFonts w:ascii="Arial" w:hAnsi="Arial" w:cs="Arial"/>
          <w:color w:val="222222"/>
          <w:sz w:val="20"/>
          <w:szCs w:val="20"/>
          <w:shd w:val="clear" w:color="auto" w:fill="FFFFFF"/>
        </w:rPr>
        <w:t>areas</w:t>
      </w:r>
      <w:r w:rsidR="00A56445">
        <w:rPr>
          <w:rFonts w:ascii="Arial" w:hAnsi="Arial" w:cs="Arial"/>
          <w:color w:val="222222"/>
          <w:sz w:val="20"/>
          <w:szCs w:val="20"/>
          <w:shd w:val="clear" w:color="auto" w:fill="FFFFFF"/>
        </w:rPr>
        <w:t xml:space="preserve"> on Immunology</w:t>
      </w:r>
      <w:r w:rsidR="002F4C4E">
        <w:rPr>
          <w:rFonts w:ascii="Arial" w:hAnsi="Arial" w:cs="Arial"/>
          <w:color w:val="222222"/>
          <w:sz w:val="20"/>
          <w:szCs w:val="20"/>
          <w:shd w:val="clear" w:color="auto" w:fill="FFFFFF"/>
        </w:rPr>
        <w:t>;</w:t>
      </w:r>
      <w:r w:rsidR="003249ED">
        <w:rPr>
          <w:rFonts w:ascii="Arial" w:hAnsi="Arial" w:cs="Arial"/>
          <w:color w:val="222222"/>
          <w:sz w:val="20"/>
          <w:szCs w:val="20"/>
          <w:shd w:val="clear" w:color="auto" w:fill="FFFFFF"/>
        </w:rPr>
        <w:t xml:space="preserve"> will stimulate interesting discussion and an opportunity to knowledge share. </w:t>
      </w:r>
    </w:p>
    <w:tbl>
      <w:tblPr>
        <w:tblStyle w:val="TableGrid"/>
        <w:tblW w:w="0" w:type="auto"/>
        <w:tblLook w:val="04A0" w:firstRow="1" w:lastRow="0" w:firstColumn="1" w:lastColumn="0" w:noHBand="0" w:noVBand="1"/>
      </w:tblPr>
      <w:tblGrid>
        <w:gridCol w:w="1384"/>
        <w:gridCol w:w="7513"/>
      </w:tblGrid>
      <w:tr w:rsidR="003249ED" w:rsidTr="003249ED">
        <w:tc>
          <w:tcPr>
            <w:tcW w:w="1384" w:type="dxa"/>
          </w:tcPr>
          <w:p w:rsidR="003249ED" w:rsidRDefault="00271200" w:rsidP="00271200">
            <w:pPr>
              <w:rPr>
                <w:rFonts w:ascii="Minion" w:hAnsi="Minion"/>
              </w:rPr>
            </w:pPr>
            <w:r>
              <w:rPr>
                <w:rFonts w:ascii="Minion" w:hAnsi="Minion"/>
              </w:rPr>
              <w:t>9.30</w:t>
            </w:r>
            <w:r w:rsidR="00822CCC">
              <w:rPr>
                <w:rFonts w:ascii="Minion" w:hAnsi="Minion"/>
              </w:rPr>
              <w:t xml:space="preserve"> -</w:t>
            </w:r>
            <w:r>
              <w:rPr>
                <w:rFonts w:ascii="Minion" w:hAnsi="Minion"/>
              </w:rPr>
              <w:t>9.55</w:t>
            </w:r>
          </w:p>
        </w:tc>
        <w:tc>
          <w:tcPr>
            <w:tcW w:w="7513" w:type="dxa"/>
          </w:tcPr>
          <w:p w:rsidR="003249ED" w:rsidRDefault="00822CCC" w:rsidP="00271200">
            <w:pPr>
              <w:rPr>
                <w:rFonts w:ascii="Minion" w:hAnsi="Minion"/>
              </w:rPr>
            </w:pPr>
            <w:r>
              <w:rPr>
                <w:rFonts w:ascii="Minion" w:hAnsi="Minion"/>
              </w:rPr>
              <w:t xml:space="preserve">Registration </w:t>
            </w:r>
          </w:p>
        </w:tc>
      </w:tr>
      <w:tr w:rsidR="003249ED" w:rsidTr="003249ED">
        <w:tc>
          <w:tcPr>
            <w:tcW w:w="1384" w:type="dxa"/>
          </w:tcPr>
          <w:p w:rsidR="003249ED" w:rsidRDefault="00271200" w:rsidP="00271200">
            <w:pPr>
              <w:rPr>
                <w:rFonts w:ascii="Minion" w:hAnsi="Minion"/>
              </w:rPr>
            </w:pPr>
            <w:r>
              <w:rPr>
                <w:rFonts w:ascii="Minion" w:hAnsi="Minion"/>
              </w:rPr>
              <w:t>9.55</w:t>
            </w:r>
            <w:r w:rsidR="0065295C">
              <w:rPr>
                <w:rFonts w:ascii="Minion" w:hAnsi="Minion"/>
              </w:rPr>
              <w:t xml:space="preserve"> – </w:t>
            </w:r>
            <w:r>
              <w:rPr>
                <w:rFonts w:ascii="Minion" w:hAnsi="Minion"/>
              </w:rPr>
              <w:t>10</w:t>
            </w:r>
            <w:r w:rsidR="0065295C">
              <w:rPr>
                <w:rFonts w:ascii="Minion" w:hAnsi="Minion"/>
              </w:rPr>
              <w:t>.</w:t>
            </w:r>
            <w:r>
              <w:rPr>
                <w:rFonts w:ascii="Minion" w:hAnsi="Minion"/>
              </w:rPr>
              <w:t>00</w:t>
            </w:r>
          </w:p>
        </w:tc>
        <w:tc>
          <w:tcPr>
            <w:tcW w:w="7513" w:type="dxa"/>
          </w:tcPr>
          <w:p w:rsidR="003249ED" w:rsidRDefault="003249ED">
            <w:pPr>
              <w:rPr>
                <w:rFonts w:ascii="Minion" w:hAnsi="Minion"/>
              </w:rPr>
            </w:pPr>
            <w:r>
              <w:rPr>
                <w:rFonts w:ascii="Minion" w:hAnsi="Minion"/>
              </w:rPr>
              <w:t>Welcome and Introduction</w:t>
            </w:r>
          </w:p>
        </w:tc>
      </w:tr>
      <w:tr w:rsidR="003249ED" w:rsidTr="003249ED">
        <w:tc>
          <w:tcPr>
            <w:tcW w:w="1384" w:type="dxa"/>
          </w:tcPr>
          <w:p w:rsidR="003249ED" w:rsidRPr="00096550" w:rsidRDefault="00271200" w:rsidP="00822CCC">
            <w:pPr>
              <w:rPr>
                <w:rFonts w:ascii="Minion" w:hAnsi="Minion"/>
              </w:rPr>
            </w:pPr>
            <w:r w:rsidRPr="00096550">
              <w:rPr>
                <w:rFonts w:ascii="Minion" w:hAnsi="Minion"/>
              </w:rPr>
              <w:t>10.00</w:t>
            </w:r>
            <w:r w:rsidR="003249ED" w:rsidRPr="00096550">
              <w:rPr>
                <w:rFonts w:ascii="Minion" w:hAnsi="Minion"/>
              </w:rPr>
              <w:t xml:space="preserve"> – 10.</w:t>
            </w:r>
            <w:r w:rsidR="00A6200F" w:rsidRPr="00096550">
              <w:rPr>
                <w:rFonts w:ascii="Minion" w:hAnsi="Minion"/>
              </w:rPr>
              <w:t>3</w:t>
            </w:r>
            <w:r w:rsidR="00822CCC" w:rsidRPr="00096550">
              <w:rPr>
                <w:rFonts w:ascii="Minion" w:hAnsi="Minion"/>
              </w:rPr>
              <w:t>0</w:t>
            </w:r>
          </w:p>
        </w:tc>
        <w:tc>
          <w:tcPr>
            <w:tcW w:w="7513" w:type="dxa"/>
          </w:tcPr>
          <w:p w:rsidR="003249ED" w:rsidRPr="00096550" w:rsidRDefault="00216778">
            <w:pPr>
              <w:rPr>
                <w:rFonts w:ascii="Minion" w:hAnsi="Minion"/>
              </w:rPr>
            </w:pPr>
            <w:r w:rsidRPr="00096550">
              <w:rPr>
                <w:rFonts w:ascii="Minion" w:hAnsi="Minion"/>
              </w:rPr>
              <w:t>Clinical Overview of Immunology Diseases</w:t>
            </w:r>
          </w:p>
        </w:tc>
      </w:tr>
      <w:tr w:rsidR="003249ED" w:rsidTr="003249ED">
        <w:tc>
          <w:tcPr>
            <w:tcW w:w="1384" w:type="dxa"/>
          </w:tcPr>
          <w:p w:rsidR="003249ED" w:rsidRPr="00096550" w:rsidRDefault="003249ED">
            <w:pPr>
              <w:rPr>
                <w:rFonts w:ascii="Minion" w:hAnsi="Minion"/>
                <w:i/>
              </w:rPr>
            </w:pPr>
          </w:p>
        </w:tc>
        <w:tc>
          <w:tcPr>
            <w:tcW w:w="7513" w:type="dxa"/>
          </w:tcPr>
          <w:p w:rsidR="003249ED" w:rsidRPr="00096550" w:rsidRDefault="00D77D5B" w:rsidP="00AE48F7">
            <w:pPr>
              <w:rPr>
                <w:rFonts w:ascii="Minion" w:hAnsi="Minion"/>
              </w:rPr>
            </w:pPr>
            <w:r>
              <w:rPr>
                <w:rFonts w:ascii="Minion" w:hAnsi="Minion"/>
              </w:rPr>
              <w:t xml:space="preserve">Chris </w:t>
            </w:r>
            <w:proofErr w:type="spellStart"/>
            <w:r>
              <w:rPr>
                <w:rFonts w:ascii="Minion" w:hAnsi="Minion"/>
              </w:rPr>
              <w:t>Mela</w:t>
            </w:r>
            <w:proofErr w:type="spellEnd"/>
            <w:r>
              <w:rPr>
                <w:rFonts w:ascii="Minion" w:hAnsi="Minion"/>
              </w:rPr>
              <w:t xml:space="preserve"> </w:t>
            </w:r>
            <w:r w:rsidR="00AE48F7">
              <w:rPr>
                <w:rFonts w:ascii="Minion" w:hAnsi="Minion"/>
              </w:rPr>
              <w:t xml:space="preserve">: </w:t>
            </w:r>
            <w:r w:rsidR="003249ED" w:rsidRPr="00096550">
              <w:rPr>
                <w:rFonts w:ascii="Minion" w:hAnsi="Minion"/>
              </w:rPr>
              <w:t xml:space="preserve">Roche </w:t>
            </w:r>
          </w:p>
        </w:tc>
      </w:tr>
      <w:tr w:rsidR="008069F8" w:rsidTr="003249ED">
        <w:tc>
          <w:tcPr>
            <w:tcW w:w="1384" w:type="dxa"/>
          </w:tcPr>
          <w:p w:rsidR="008069F8" w:rsidRPr="00096550" w:rsidRDefault="008069F8" w:rsidP="00787AE6">
            <w:pPr>
              <w:rPr>
                <w:rFonts w:ascii="Minion" w:hAnsi="Minion"/>
              </w:rPr>
            </w:pPr>
            <w:r w:rsidRPr="00096550">
              <w:rPr>
                <w:rFonts w:ascii="Minion" w:hAnsi="Minion"/>
              </w:rPr>
              <w:t>10.30 – 11.15</w:t>
            </w:r>
          </w:p>
        </w:tc>
        <w:tc>
          <w:tcPr>
            <w:tcW w:w="7513" w:type="dxa"/>
          </w:tcPr>
          <w:p w:rsidR="008069F8" w:rsidRPr="007042EB" w:rsidRDefault="008069F8" w:rsidP="00BA05C5">
            <w:pPr>
              <w:rPr>
                <w:rFonts w:ascii="Minion" w:hAnsi="Minion"/>
              </w:rPr>
            </w:pPr>
            <w:r w:rsidRPr="007042EB">
              <w:rPr>
                <w:rFonts w:ascii="Minion" w:hAnsi="Minion"/>
              </w:rPr>
              <w:t>An approach for integrating existing knowledge into the statistical analysis</w:t>
            </w:r>
          </w:p>
          <w:p w:rsidR="008069F8" w:rsidRPr="007042EB" w:rsidRDefault="008069F8" w:rsidP="00BA05C5">
            <w:pPr>
              <w:rPr>
                <w:rFonts w:ascii="Minion" w:hAnsi="Minion"/>
              </w:rPr>
            </w:pPr>
            <w:r w:rsidRPr="007042EB">
              <w:rPr>
                <w:rFonts w:ascii="Minion" w:hAnsi="Minion"/>
              </w:rPr>
              <w:t>of multiple immune markers:</w:t>
            </w:r>
          </w:p>
          <w:p w:rsidR="008069F8" w:rsidRPr="007042EB" w:rsidRDefault="008069F8" w:rsidP="00BA05C5">
            <w:pPr>
              <w:rPr>
                <w:rFonts w:ascii="Minion" w:hAnsi="Minion"/>
              </w:rPr>
            </w:pPr>
            <w:r w:rsidRPr="007042EB">
              <w:rPr>
                <w:rFonts w:ascii="Minion" w:hAnsi="Minion"/>
              </w:rPr>
              <w:t>An application to cytokine data collected in a large immuno-epidemiological study aimed to investigate risk factors for atopy and asthma</w:t>
            </w:r>
          </w:p>
        </w:tc>
      </w:tr>
      <w:tr w:rsidR="008069F8" w:rsidTr="003249ED">
        <w:tc>
          <w:tcPr>
            <w:tcW w:w="1384" w:type="dxa"/>
          </w:tcPr>
          <w:p w:rsidR="008069F8" w:rsidRPr="00096550" w:rsidRDefault="008069F8">
            <w:pPr>
              <w:rPr>
                <w:rFonts w:ascii="Minion" w:hAnsi="Minion"/>
              </w:rPr>
            </w:pPr>
          </w:p>
        </w:tc>
        <w:tc>
          <w:tcPr>
            <w:tcW w:w="7513" w:type="dxa"/>
          </w:tcPr>
          <w:p w:rsidR="008069F8" w:rsidRPr="007807AC" w:rsidRDefault="008069F8" w:rsidP="008069F8">
            <w:pPr>
              <w:rPr>
                <w:rFonts w:ascii="Minion" w:hAnsi="Minion"/>
                <w:vertAlign w:val="superscript"/>
              </w:rPr>
            </w:pPr>
            <w:r w:rsidRPr="007042EB">
              <w:rPr>
                <w:rFonts w:ascii="Minion" w:hAnsi="Minion"/>
              </w:rPr>
              <w:t>Dr Bernd Genser</w:t>
            </w:r>
            <w:r w:rsidR="007807AC">
              <w:rPr>
                <w:rFonts w:ascii="Minion" w:hAnsi="Minion"/>
                <w:vertAlign w:val="superscript"/>
              </w:rPr>
              <w:t>1,2</w:t>
            </w:r>
            <w:r w:rsidRPr="007042EB">
              <w:rPr>
                <w:rFonts w:ascii="Minion" w:hAnsi="Minion"/>
              </w:rPr>
              <w:t xml:space="preserve"> </w:t>
            </w:r>
            <w:r w:rsidR="007807AC">
              <w:rPr>
                <w:rFonts w:ascii="Minion" w:hAnsi="Minion"/>
              </w:rPr>
              <w:t xml:space="preserve"> &amp;  Marion Genser</w:t>
            </w:r>
            <w:r w:rsidR="007807AC">
              <w:rPr>
                <w:rFonts w:ascii="Minion" w:hAnsi="Minion"/>
                <w:vertAlign w:val="superscript"/>
              </w:rPr>
              <w:t>1</w:t>
            </w:r>
          </w:p>
          <w:p w:rsidR="008069F8" w:rsidRPr="007042EB" w:rsidRDefault="008069F8" w:rsidP="008069F8">
            <w:pPr>
              <w:rPr>
                <w:rFonts w:ascii="Minion" w:hAnsi="Minion"/>
              </w:rPr>
            </w:pPr>
            <w:r w:rsidRPr="007042EB">
              <w:rPr>
                <w:rFonts w:ascii="Minion" w:hAnsi="Minion"/>
              </w:rPr>
              <w:t xml:space="preserve">1 </w:t>
            </w:r>
            <w:proofErr w:type="spellStart"/>
            <w:r w:rsidRPr="007042EB">
              <w:rPr>
                <w:rFonts w:ascii="Minion" w:hAnsi="Minion"/>
              </w:rPr>
              <w:t>BGStats</w:t>
            </w:r>
            <w:proofErr w:type="spellEnd"/>
            <w:r w:rsidRPr="007042EB">
              <w:rPr>
                <w:rFonts w:ascii="Minion" w:hAnsi="Minion"/>
              </w:rPr>
              <w:t xml:space="preserve"> Consulting Vienna Austria</w:t>
            </w:r>
          </w:p>
          <w:p w:rsidR="008069F8" w:rsidRPr="007042EB" w:rsidRDefault="008069F8" w:rsidP="00BA05C5">
            <w:pPr>
              <w:shd w:val="clear" w:color="auto" w:fill="FFFFFF"/>
              <w:rPr>
                <w:rFonts w:ascii="Minion" w:hAnsi="Minion"/>
              </w:rPr>
            </w:pPr>
            <w:r w:rsidRPr="007042EB">
              <w:rPr>
                <w:rFonts w:ascii="Minion" w:hAnsi="Minion"/>
              </w:rPr>
              <w:t>2 Mannheim Institute of Public Health, Social and Preventive Medicine, University of Heidelberg, Germany</w:t>
            </w:r>
          </w:p>
        </w:tc>
      </w:tr>
      <w:tr w:rsidR="003249ED" w:rsidTr="003249ED">
        <w:tc>
          <w:tcPr>
            <w:tcW w:w="1384" w:type="dxa"/>
          </w:tcPr>
          <w:p w:rsidR="003249ED" w:rsidRPr="002C6CED" w:rsidRDefault="00A6200F" w:rsidP="00A6200F">
            <w:pPr>
              <w:rPr>
                <w:rFonts w:ascii="Minion" w:hAnsi="Minion"/>
              </w:rPr>
            </w:pPr>
            <w:r w:rsidRPr="002C6CED">
              <w:rPr>
                <w:rFonts w:ascii="Minion" w:hAnsi="Minion"/>
              </w:rPr>
              <w:t>11</w:t>
            </w:r>
            <w:r w:rsidR="003249ED" w:rsidRPr="002C6CED">
              <w:rPr>
                <w:rFonts w:ascii="Minion" w:hAnsi="Minion"/>
              </w:rPr>
              <w:t>.</w:t>
            </w:r>
            <w:r w:rsidRPr="002C6CED">
              <w:rPr>
                <w:rFonts w:ascii="Minion" w:hAnsi="Minion"/>
              </w:rPr>
              <w:t>15</w:t>
            </w:r>
            <w:r w:rsidR="003249ED" w:rsidRPr="002C6CED">
              <w:rPr>
                <w:rFonts w:ascii="Minion" w:hAnsi="Minion"/>
              </w:rPr>
              <w:t xml:space="preserve"> – 1</w:t>
            </w:r>
            <w:r w:rsidRPr="002C6CED">
              <w:rPr>
                <w:rFonts w:ascii="Minion" w:hAnsi="Minion"/>
              </w:rPr>
              <w:t>2.00</w:t>
            </w:r>
          </w:p>
        </w:tc>
        <w:tc>
          <w:tcPr>
            <w:tcW w:w="7513" w:type="dxa"/>
          </w:tcPr>
          <w:p w:rsidR="003249ED" w:rsidRPr="002C6CED" w:rsidRDefault="00921E67">
            <w:pPr>
              <w:rPr>
                <w:rFonts w:ascii="Minion" w:hAnsi="Minion"/>
              </w:rPr>
            </w:pPr>
            <w:r w:rsidRPr="00921E67">
              <w:rPr>
                <w:rFonts w:ascii="Minion" w:hAnsi="Minion"/>
              </w:rPr>
              <w:t>Innovative dose escalation and dose finding in immunology</w:t>
            </w:r>
          </w:p>
        </w:tc>
      </w:tr>
      <w:tr w:rsidR="003249ED" w:rsidTr="003249ED">
        <w:tc>
          <w:tcPr>
            <w:tcW w:w="1384" w:type="dxa"/>
          </w:tcPr>
          <w:p w:rsidR="003249ED" w:rsidRPr="002C6CED" w:rsidRDefault="003249ED">
            <w:pPr>
              <w:rPr>
                <w:rFonts w:ascii="Minion" w:hAnsi="Minion"/>
                <w:i/>
              </w:rPr>
            </w:pPr>
          </w:p>
        </w:tc>
        <w:tc>
          <w:tcPr>
            <w:tcW w:w="7513" w:type="dxa"/>
          </w:tcPr>
          <w:p w:rsidR="003249ED" w:rsidRPr="002C6CED" w:rsidRDefault="00921E67">
            <w:pPr>
              <w:rPr>
                <w:rFonts w:ascii="Minion" w:hAnsi="Minion"/>
              </w:rPr>
            </w:pPr>
            <w:r>
              <w:rPr>
                <w:rFonts w:ascii="Minion" w:hAnsi="Minion"/>
              </w:rPr>
              <w:t>Alun Bedding: AstraZeneca</w:t>
            </w:r>
          </w:p>
        </w:tc>
      </w:tr>
      <w:tr w:rsidR="00A6200F" w:rsidTr="003249ED">
        <w:tc>
          <w:tcPr>
            <w:tcW w:w="1384" w:type="dxa"/>
          </w:tcPr>
          <w:p w:rsidR="00A6200F" w:rsidRDefault="00A6200F" w:rsidP="00A6200F">
            <w:pPr>
              <w:rPr>
                <w:rFonts w:ascii="Minion" w:hAnsi="Minion"/>
              </w:rPr>
            </w:pPr>
            <w:r>
              <w:rPr>
                <w:rFonts w:ascii="Minion" w:hAnsi="Minion"/>
              </w:rPr>
              <w:t>12.00 – 12.4</w:t>
            </w:r>
            <w:r w:rsidR="002F4C6B">
              <w:rPr>
                <w:rFonts w:ascii="Minion" w:hAnsi="Minion"/>
              </w:rPr>
              <w:t>5</w:t>
            </w:r>
          </w:p>
        </w:tc>
        <w:tc>
          <w:tcPr>
            <w:tcW w:w="7513" w:type="dxa"/>
          </w:tcPr>
          <w:p w:rsidR="00A6200F" w:rsidRPr="003249ED" w:rsidRDefault="00A6200F" w:rsidP="00660580">
            <w:pPr>
              <w:rPr>
                <w:rFonts w:ascii="Minion" w:hAnsi="Minion"/>
              </w:rPr>
            </w:pPr>
            <w:r>
              <w:rPr>
                <w:rFonts w:ascii="Minion" w:hAnsi="Minion"/>
              </w:rPr>
              <w:t>Lunch</w:t>
            </w:r>
          </w:p>
        </w:tc>
      </w:tr>
      <w:tr w:rsidR="008B1284" w:rsidTr="003249ED">
        <w:tc>
          <w:tcPr>
            <w:tcW w:w="1384" w:type="dxa"/>
          </w:tcPr>
          <w:p w:rsidR="008B1284" w:rsidRDefault="008B1284" w:rsidP="00A6200F">
            <w:pPr>
              <w:rPr>
                <w:rFonts w:ascii="Minion" w:hAnsi="Minion"/>
              </w:rPr>
            </w:pPr>
            <w:r w:rsidRPr="002C6CED">
              <w:rPr>
                <w:rFonts w:ascii="Minion" w:hAnsi="Minion"/>
                <w:i/>
              </w:rPr>
              <w:t>12.45 – 1.25</w:t>
            </w:r>
          </w:p>
        </w:tc>
        <w:tc>
          <w:tcPr>
            <w:tcW w:w="7513" w:type="dxa"/>
          </w:tcPr>
          <w:p w:rsidR="008B1284" w:rsidRPr="00096550" w:rsidRDefault="008B1284" w:rsidP="00BA05C5">
            <w:pPr>
              <w:rPr>
                <w:rFonts w:ascii="Minion" w:hAnsi="Minion"/>
              </w:rPr>
            </w:pPr>
            <w:r w:rsidRPr="00096550">
              <w:rPr>
                <w:rFonts w:ascii="Minion" w:hAnsi="Minion"/>
              </w:rPr>
              <w:t> </w:t>
            </w:r>
            <w:r w:rsidR="00D77D5B" w:rsidRPr="00F565B8">
              <w:rPr>
                <w:rFonts w:ascii="Minion" w:hAnsi="Minion"/>
              </w:rPr>
              <w:t>Leveraging Data across Multiple Immuno-Inflammation Indications: Early Clinical Development of a Novel Compound</w:t>
            </w:r>
          </w:p>
        </w:tc>
      </w:tr>
      <w:tr w:rsidR="008B1284" w:rsidTr="003249ED">
        <w:tc>
          <w:tcPr>
            <w:tcW w:w="1384" w:type="dxa"/>
          </w:tcPr>
          <w:p w:rsidR="008B1284" w:rsidRDefault="008B1284" w:rsidP="00A6200F">
            <w:pPr>
              <w:rPr>
                <w:rFonts w:ascii="Minion" w:hAnsi="Minion"/>
              </w:rPr>
            </w:pPr>
          </w:p>
        </w:tc>
        <w:tc>
          <w:tcPr>
            <w:tcW w:w="7513" w:type="dxa"/>
          </w:tcPr>
          <w:p w:rsidR="008B1284" w:rsidRPr="00096550" w:rsidRDefault="008B1284" w:rsidP="00BA05C5">
            <w:pPr>
              <w:rPr>
                <w:rFonts w:ascii="Minion" w:hAnsi="Minion"/>
              </w:rPr>
            </w:pPr>
            <w:r w:rsidRPr="00096550">
              <w:rPr>
                <w:rFonts w:ascii="Minion" w:hAnsi="Minion"/>
              </w:rPr>
              <w:t xml:space="preserve">Nicola Scott : GSK </w:t>
            </w:r>
          </w:p>
        </w:tc>
      </w:tr>
      <w:tr w:rsidR="00A6200F" w:rsidTr="003249ED">
        <w:tc>
          <w:tcPr>
            <w:tcW w:w="1384" w:type="dxa"/>
          </w:tcPr>
          <w:p w:rsidR="00A6200F" w:rsidRPr="00096550" w:rsidRDefault="002F4C6B" w:rsidP="002F4C6B">
            <w:pPr>
              <w:rPr>
                <w:rFonts w:ascii="Minion" w:hAnsi="Minion"/>
              </w:rPr>
            </w:pPr>
            <w:r w:rsidRPr="00096550">
              <w:rPr>
                <w:rFonts w:ascii="Minion" w:hAnsi="Minion"/>
              </w:rPr>
              <w:t>1.25</w:t>
            </w:r>
            <w:r w:rsidR="00A6200F" w:rsidRPr="00096550">
              <w:rPr>
                <w:rFonts w:ascii="Minion" w:hAnsi="Minion"/>
              </w:rPr>
              <w:t xml:space="preserve"> – 2.</w:t>
            </w:r>
            <w:r w:rsidR="00787AE6" w:rsidRPr="00096550">
              <w:rPr>
                <w:rFonts w:ascii="Minion" w:hAnsi="Minion"/>
              </w:rPr>
              <w:t>0</w:t>
            </w:r>
            <w:r w:rsidRPr="00096550">
              <w:rPr>
                <w:rFonts w:ascii="Minion" w:hAnsi="Minion"/>
              </w:rPr>
              <w:t>5</w:t>
            </w:r>
          </w:p>
        </w:tc>
        <w:tc>
          <w:tcPr>
            <w:tcW w:w="7513" w:type="dxa"/>
          </w:tcPr>
          <w:p w:rsidR="00A6200F" w:rsidRPr="00096550" w:rsidRDefault="00DF7FFC" w:rsidP="00660580">
            <w:pPr>
              <w:rPr>
                <w:rFonts w:ascii="Minion" w:hAnsi="Minion"/>
              </w:rPr>
            </w:pPr>
            <w:r w:rsidRPr="00DF7FFC">
              <w:rPr>
                <w:rFonts w:ascii="Minion" w:hAnsi="Minion"/>
              </w:rPr>
              <w:t>Complex study design in patients with Hereditary Periodic Fevers, an orphan autoimmune disease</w:t>
            </w:r>
          </w:p>
        </w:tc>
      </w:tr>
      <w:tr w:rsidR="00A6200F" w:rsidTr="003249ED">
        <w:tc>
          <w:tcPr>
            <w:tcW w:w="1384" w:type="dxa"/>
          </w:tcPr>
          <w:p w:rsidR="00A6200F" w:rsidRPr="00096550" w:rsidRDefault="00A6200F" w:rsidP="00822CCC">
            <w:pPr>
              <w:rPr>
                <w:rFonts w:ascii="Minion" w:hAnsi="Minion"/>
              </w:rPr>
            </w:pPr>
          </w:p>
        </w:tc>
        <w:tc>
          <w:tcPr>
            <w:tcW w:w="7513" w:type="dxa"/>
          </w:tcPr>
          <w:p w:rsidR="00A6200F" w:rsidRPr="00096550" w:rsidRDefault="00096550" w:rsidP="00660580">
            <w:pPr>
              <w:rPr>
                <w:rFonts w:ascii="Minion" w:hAnsi="Minion"/>
              </w:rPr>
            </w:pPr>
            <w:r w:rsidRPr="00096550">
              <w:rPr>
                <w:rFonts w:ascii="Minion" w:hAnsi="Minion"/>
              </w:rPr>
              <w:t xml:space="preserve">Karine Lheritier : Novartis </w:t>
            </w:r>
          </w:p>
        </w:tc>
      </w:tr>
      <w:tr w:rsidR="00A6200F" w:rsidTr="003249ED">
        <w:tc>
          <w:tcPr>
            <w:tcW w:w="1384" w:type="dxa"/>
          </w:tcPr>
          <w:p w:rsidR="00A6200F" w:rsidRPr="007042EB" w:rsidRDefault="00A6200F" w:rsidP="002F4C6B">
            <w:pPr>
              <w:rPr>
                <w:rFonts w:ascii="Minion" w:hAnsi="Minion"/>
              </w:rPr>
            </w:pPr>
            <w:r w:rsidRPr="007042EB">
              <w:rPr>
                <w:rFonts w:ascii="Minion" w:hAnsi="Minion"/>
              </w:rPr>
              <w:t>2.</w:t>
            </w:r>
            <w:r w:rsidR="00787AE6" w:rsidRPr="007042EB">
              <w:rPr>
                <w:rFonts w:ascii="Minion" w:hAnsi="Minion"/>
              </w:rPr>
              <w:t>0</w:t>
            </w:r>
            <w:r w:rsidR="002F4C6B" w:rsidRPr="007042EB">
              <w:rPr>
                <w:rFonts w:ascii="Minion" w:hAnsi="Minion"/>
              </w:rPr>
              <w:t>5</w:t>
            </w:r>
            <w:r w:rsidRPr="007042EB">
              <w:rPr>
                <w:rFonts w:ascii="Minion" w:hAnsi="Minion"/>
              </w:rPr>
              <w:t xml:space="preserve"> – </w:t>
            </w:r>
            <w:r w:rsidR="00787AE6" w:rsidRPr="007042EB">
              <w:rPr>
                <w:rFonts w:ascii="Minion" w:hAnsi="Minion"/>
              </w:rPr>
              <w:t>2.4</w:t>
            </w:r>
            <w:r w:rsidR="002F4C6B" w:rsidRPr="007042EB">
              <w:rPr>
                <w:rFonts w:ascii="Minion" w:hAnsi="Minion"/>
              </w:rPr>
              <w:t>5</w:t>
            </w:r>
          </w:p>
        </w:tc>
        <w:tc>
          <w:tcPr>
            <w:tcW w:w="7513" w:type="dxa"/>
          </w:tcPr>
          <w:p w:rsidR="00A6200F" w:rsidRPr="007042EB" w:rsidRDefault="007F09DB" w:rsidP="007F09DB">
            <w:pPr>
              <w:rPr>
                <w:rFonts w:ascii="Minion" w:hAnsi="Minion"/>
              </w:rPr>
            </w:pPr>
            <w:r>
              <w:rPr>
                <w:rFonts w:ascii="Minion" w:hAnsi="Minion"/>
              </w:rPr>
              <w:t>Engineering Simulations to Understand and Gain Inspiration From Biological Systems</w:t>
            </w:r>
          </w:p>
        </w:tc>
      </w:tr>
      <w:tr w:rsidR="00A6200F" w:rsidTr="003249ED">
        <w:tc>
          <w:tcPr>
            <w:tcW w:w="1384" w:type="dxa"/>
          </w:tcPr>
          <w:p w:rsidR="00A6200F" w:rsidRPr="007042EB" w:rsidRDefault="00A6200F" w:rsidP="00822CCC">
            <w:pPr>
              <w:rPr>
                <w:rFonts w:ascii="Minion" w:hAnsi="Minion"/>
              </w:rPr>
            </w:pPr>
          </w:p>
        </w:tc>
        <w:tc>
          <w:tcPr>
            <w:tcW w:w="7513" w:type="dxa"/>
          </w:tcPr>
          <w:p w:rsidR="007042EB" w:rsidRPr="007042EB" w:rsidRDefault="007F09DB" w:rsidP="007042EB">
            <w:pPr>
              <w:shd w:val="clear" w:color="auto" w:fill="FFFFFF"/>
              <w:rPr>
                <w:rFonts w:ascii="Minion" w:hAnsi="Minion"/>
              </w:rPr>
            </w:pPr>
            <w:r>
              <w:rPr>
                <w:rFonts w:ascii="Minion" w:hAnsi="Minion"/>
              </w:rPr>
              <w:t>Kieran Alden : York Computational Immunology Lab</w:t>
            </w:r>
          </w:p>
        </w:tc>
      </w:tr>
      <w:tr w:rsidR="00A6200F" w:rsidTr="003249ED">
        <w:tc>
          <w:tcPr>
            <w:tcW w:w="1384" w:type="dxa"/>
          </w:tcPr>
          <w:p w:rsidR="00A6200F" w:rsidRDefault="002F4C6B" w:rsidP="00787AE6">
            <w:pPr>
              <w:rPr>
                <w:rFonts w:ascii="Minion" w:hAnsi="Minion"/>
              </w:rPr>
            </w:pPr>
            <w:r>
              <w:rPr>
                <w:rFonts w:ascii="Minion" w:hAnsi="Minion"/>
              </w:rPr>
              <w:t>2.45</w:t>
            </w:r>
            <w:r w:rsidR="00A6200F">
              <w:rPr>
                <w:rFonts w:ascii="Minion" w:hAnsi="Minion"/>
              </w:rPr>
              <w:t xml:space="preserve"> – </w:t>
            </w:r>
            <w:r w:rsidR="00787AE6">
              <w:rPr>
                <w:rFonts w:ascii="Minion" w:hAnsi="Minion"/>
              </w:rPr>
              <w:t>3.0</w:t>
            </w:r>
            <w:r>
              <w:rPr>
                <w:rFonts w:ascii="Minion" w:hAnsi="Minion"/>
              </w:rPr>
              <w:t>5</w:t>
            </w:r>
            <w:r w:rsidR="00A6200F">
              <w:rPr>
                <w:rFonts w:ascii="Minion" w:hAnsi="Minion"/>
              </w:rPr>
              <w:t xml:space="preserve"> </w:t>
            </w:r>
          </w:p>
        </w:tc>
        <w:tc>
          <w:tcPr>
            <w:tcW w:w="7513" w:type="dxa"/>
          </w:tcPr>
          <w:p w:rsidR="00A6200F" w:rsidRPr="003249ED" w:rsidRDefault="00A6200F" w:rsidP="00660580">
            <w:pPr>
              <w:rPr>
                <w:rFonts w:ascii="Minion" w:hAnsi="Minion"/>
              </w:rPr>
            </w:pPr>
            <w:r>
              <w:rPr>
                <w:rFonts w:ascii="Minion" w:hAnsi="Minion"/>
              </w:rPr>
              <w:t>Coffee</w:t>
            </w:r>
          </w:p>
        </w:tc>
      </w:tr>
      <w:tr w:rsidR="008B1284" w:rsidTr="003249ED">
        <w:tc>
          <w:tcPr>
            <w:tcW w:w="1384" w:type="dxa"/>
          </w:tcPr>
          <w:p w:rsidR="008B1284" w:rsidRPr="00096550" w:rsidRDefault="008B1284" w:rsidP="002F4C6B">
            <w:pPr>
              <w:rPr>
                <w:rFonts w:ascii="Minion" w:hAnsi="Minion"/>
              </w:rPr>
            </w:pPr>
            <w:r w:rsidRPr="00096550">
              <w:rPr>
                <w:rFonts w:ascii="Minion" w:hAnsi="Minion"/>
              </w:rPr>
              <w:t>3.05 – 3.45</w:t>
            </w:r>
          </w:p>
        </w:tc>
        <w:tc>
          <w:tcPr>
            <w:tcW w:w="7513" w:type="dxa"/>
          </w:tcPr>
          <w:p w:rsidR="008B1284" w:rsidRPr="002C6CED" w:rsidRDefault="008B1284" w:rsidP="00BA05C5">
            <w:pPr>
              <w:rPr>
                <w:rFonts w:ascii="Minion" w:hAnsi="Minion"/>
              </w:rPr>
            </w:pPr>
            <w:r w:rsidRPr="00D80BF6">
              <w:rPr>
                <w:rFonts w:ascii="Minion" w:hAnsi="Minion"/>
              </w:rPr>
              <w:t>A bioequivalence study design which includes the option for sample size re-estimation (SSR) at the Interim Analysis</w:t>
            </w:r>
          </w:p>
        </w:tc>
      </w:tr>
      <w:tr w:rsidR="008B1284" w:rsidTr="003249ED">
        <w:tc>
          <w:tcPr>
            <w:tcW w:w="1384" w:type="dxa"/>
          </w:tcPr>
          <w:p w:rsidR="008B1284" w:rsidRPr="00096550" w:rsidRDefault="008B1284" w:rsidP="003249ED">
            <w:pPr>
              <w:rPr>
                <w:rFonts w:ascii="Minion" w:hAnsi="Minion"/>
              </w:rPr>
            </w:pPr>
          </w:p>
        </w:tc>
        <w:tc>
          <w:tcPr>
            <w:tcW w:w="7513" w:type="dxa"/>
          </w:tcPr>
          <w:p w:rsidR="008B1284" w:rsidRPr="002C6CED" w:rsidRDefault="008B1284" w:rsidP="00BA05C5">
            <w:pPr>
              <w:rPr>
                <w:rFonts w:ascii="Minion" w:hAnsi="Minion"/>
              </w:rPr>
            </w:pPr>
            <w:r w:rsidRPr="002C6CED">
              <w:rPr>
                <w:rFonts w:ascii="Minion" w:hAnsi="Minion"/>
              </w:rPr>
              <w:t xml:space="preserve">Jen Pulley: Roche </w:t>
            </w:r>
          </w:p>
        </w:tc>
      </w:tr>
      <w:tr w:rsidR="00A6200F" w:rsidTr="003249ED">
        <w:tc>
          <w:tcPr>
            <w:tcW w:w="1384" w:type="dxa"/>
          </w:tcPr>
          <w:p w:rsidR="00A6200F" w:rsidRPr="00096550" w:rsidRDefault="00787AE6" w:rsidP="002F4C6B">
            <w:pPr>
              <w:rPr>
                <w:rFonts w:ascii="Minion" w:hAnsi="Minion"/>
              </w:rPr>
            </w:pPr>
            <w:r w:rsidRPr="00096550">
              <w:rPr>
                <w:rFonts w:ascii="Minion" w:hAnsi="Minion"/>
              </w:rPr>
              <w:t>3.4</w:t>
            </w:r>
            <w:r w:rsidR="002F4C6B" w:rsidRPr="00096550">
              <w:rPr>
                <w:rFonts w:ascii="Minion" w:hAnsi="Minion"/>
              </w:rPr>
              <w:t>5</w:t>
            </w:r>
            <w:r w:rsidR="00A6200F" w:rsidRPr="00096550">
              <w:rPr>
                <w:rFonts w:ascii="Minion" w:hAnsi="Minion"/>
              </w:rPr>
              <w:t xml:space="preserve"> – 4.</w:t>
            </w:r>
            <w:r w:rsidRPr="00096550">
              <w:rPr>
                <w:rFonts w:ascii="Minion" w:hAnsi="Minion"/>
              </w:rPr>
              <w:t>2</w:t>
            </w:r>
            <w:r w:rsidR="002F4C6B" w:rsidRPr="00096550">
              <w:rPr>
                <w:rFonts w:ascii="Minion" w:hAnsi="Minion"/>
              </w:rPr>
              <w:t>5</w:t>
            </w:r>
          </w:p>
        </w:tc>
        <w:tc>
          <w:tcPr>
            <w:tcW w:w="7513" w:type="dxa"/>
          </w:tcPr>
          <w:p w:rsidR="00A6200F" w:rsidRPr="00096550" w:rsidRDefault="001A1DA2" w:rsidP="00271200">
            <w:pPr>
              <w:rPr>
                <w:rFonts w:ascii="Minion" w:hAnsi="Minion"/>
              </w:rPr>
            </w:pPr>
            <w:r w:rsidRPr="00096550">
              <w:rPr>
                <w:rFonts w:ascii="Minion" w:hAnsi="Minion"/>
              </w:rPr>
              <w:t>RA-MAP Project - Towards an  improved understanding of immune function and response in RA</w:t>
            </w:r>
          </w:p>
        </w:tc>
      </w:tr>
      <w:tr w:rsidR="00A6200F" w:rsidTr="003249ED">
        <w:tc>
          <w:tcPr>
            <w:tcW w:w="1384" w:type="dxa"/>
          </w:tcPr>
          <w:p w:rsidR="00A6200F" w:rsidRPr="001A1DA2" w:rsidRDefault="00A6200F" w:rsidP="003249ED">
            <w:pPr>
              <w:rPr>
                <w:rFonts w:ascii="Minion" w:hAnsi="Minion"/>
              </w:rPr>
            </w:pPr>
          </w:p>
        </w:tc>
        <w:tc>
          <w:tcPr>
            <w:tcW w:w="7513" w:type="dxa"/>
          </w:tcPr>
          <w:p w:rsidR="001A1DA2" w:rsidRPr="001A1DA2" w:rsidRDefault="001A1DA2" w:rsidP="001A1D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nion" w:hAnsi="Minion"/>
              </w:rPr>
            </w:pPr>
            <w:r w:rsidRPr="001A1DA2">
              <w:rPr>
                <w:rFonts w:ascii="Minion" w:hAnsi="Minion"/>
              </w:rPr>
              <w:t>Brian D M Tom (PhD)</w:t>
            </w:r>
          </w:p>
          <w:p w:rsidR="001A1DA2" w:rsidRPr="001A1DA2" w:rsidRDefault="001A1DA2" w:rsidP="001A1D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nion" w:hAnsi="Minion"/>
              </w:rPr>
            </w:pPr>
            <w:r w:rsidRPr="001A1DA2">
              <w:rPr>
                <w:rFonts w:ascii="Minion" w:hAnsi="Minion"/>
              </w:rPr>
              <w:t>Programme Leader</w:t>
            </w:r>
          </w:p>
          <w:p w:rsidR="00A6200F" w:rsidRPr="001A1DA2" w:rsidRDefault="001A1DA2" w:rsidP="001A1D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Minion" w:hAnsi="Minion"/>
              </w:rPr>
            </w:pPr>
            <w:r w:rsidRPr="001A1DA2">
              <w:rPr>
                <w:rFonts w:ascii="Minion" w:hAnsi="Minion"/>
              </w:rPr>
              <w:t>MRC Biostatistics Unit</w:t>
            </w:r>
          </w:p>
        </w:tc>
      </w:tr>
      <w:tr w:rsidR="00A6200F" w:rsidTr="003249ED">
        <w:tc>
          <w:tcPr>
            <w:tcW w:w="1384" w:type="dxa"/>
          </w:tcPr>
          <w:p w:rsidR="00A6200F" w:rsidRDefault="00A6200F" w:rsidP="002F4C6B">
            <w:pPr>
              <w:rPr>
                <w:rFonts w:ascii="Minion" w:hAnsi="Minion"/>
              </w:rPr>
            </w:pPr>
            <w:r>
              <w:rPr>
                <w:rFonts w:ascii="Minion" w:hAnsi="Minion"/>
              </w:rPr>
              <w:t>4.</w:t>
            </w:r>
            <w:r w:rsidR="00787AE6">
              <w:rPr>
                <w:rFonts w:ascii="Minion" w:hAnsi="Minion"/>
              </w:rPr>
              <w:t>2</w:t>
            </w:r>
            <w:r w:rsidR="002F4C6B">
              <w:rPr>
                <w:rFonts w:ascii="Minion" w:hAnsi="Minion"/>
              </w:rPr>
              <w:t>5</w:t>
            </w:r>
            <w:r w:rsidR="00787AE6">
              <w:rPr>
                <w:rFonts w:ascii="Minion" w:hAnsi="Minion"/>
              </w:rPr>
              <w:t xml:space="preserve"> – 4.30</w:t>
            </w:r>
            <w:r>
              <w:rPr>
                <w:rFonts w:ascii="Minion" w:hAnsi="Minion"/>
              </w:rPr>
              <w:t xml:space="preserve"> </w:t>
            </w:r>
          </w:p>
        </w:tc>
        <w:tc>
          <w:tcPr>
            <w:tcW w:w="7513" w:type="dxa"/>
          </w:tcPr>
          <w:p w:rsidR="00A6200F" w:rsidRPr="003249ED" w:rsidRDefault="00A6200F">
            <w:pPr>
              <w:rPr>
                <w:rFonts w:ascii="Minion" w:hAnsi="Minion"/>
              </w:rPr>
            </w:pPr>
            <w:r>
              <w:rPr>
                <w:rFonts w:ascii="Minion" w:hAnsi="Minion"/>
              </w:rPr>
              <w:t>Close</w:t>
            </w:r>
          </w:p>
        </w:tc>
      </w:tr>
    </w:tbl>
    <w:p w:rsidR="003249ED" w:rsidRDefault="003249ED">
      <w:pPr>
        <w:rPr>
          <w:rFonts w:ascii="Minion" w:hAnsi="Minion"/>
        </w:rPr>
      </w:pPr>
    </w:p>
    <w:p w:rsidR="00B73CE5" w:rsidRDefault="00B73CE5">
      <w:pPr>
        <w:rPr>
          <w:rFonts w:ascii="Minion" w:hAnsi="Minion"/>
        </w:rPr>
      </w:pPr>
    </w:p>
    <w:p w:rsidR="007807AC" w:rsidRPr="00921E67" w:rsidRDefault="00921E67">
      <w:pPr>
        <w:rPr>
          <w:rFonts w:ascii="Minion" w:hAnsi="Minion"/>
          <w:b/>
        </w:rPr>
      </w:pPr>
      <w:r w:rsidRPr="00921E67">
        <w:rPr>
          <w:rFonts w:ascii="Minion" w:hAnsi="Minion"/>
          <w:b/>
        </w:rPr>
        <w:lastRenderedPageBreak/>
        <w:t>Clinical Overview of Immunology Diseases</w:t>
      </w:r>
    </w:p>
    <w:tbl>
      <w:tblPr>
        <w:tblStyle w:val="TableGrid"/>
        <w:tblW w:w="0" w:type="auto"/>
        <w:tblLook w:val="04A0" w:firstRow="1" w:lastRow="0" w:firstColumn="1" w:lastColumn="0" w:noHBand="0" w:noVBand="1"/>
      </w:tblPr>
      <w:tblGrid>
        <w:gridCol w:w="2213"/>
        <w:gridCol w:w="6803"/>
      </w:tblGrid>
      <w:tr w:rsidR="00921E67" w:rsidTr="00921E67">
        <w:tc>
          <w:tcPr>
            <w:tcW w:w="2235" w:type="dxa"/>
          </w:tcPr>
          <w:p w:rsidR="00921E67" w:rsidRDefault="00921E67">
            <w:pPr>
              <w:rPr>
                <w:rFonts w:ascii="Minion" w:hAnsi="Minion"/>
              </w:rPr>
            </w:pPr>
            <w:r>
              <w:rPr>
                <w:rFonts w:ascii="Minion" w:hAnsi="Minion"/>
                <w:noProof/>
                <w:lang w:val="en-GB" w:eastAsia="en-GB"/>
              </w:rPr>
              <w:drawing>
                <wp:inline distT="0" distB="0" distL="0" distR="0">
                  <wp:extent cx="882650" cy="1323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_mela.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4258" cy="1326387"/>
                          </a:xfrm>
                          <a:prstGeom prst="rect">
                            <a:avLst/>
                          </a:prstGeom>
                        </pic:spPr>
                      </pic:pic>
                    </a:graphicData>
                  </a:graphic>
                </wp:inline>
              </w:drawing>
            </w:r>
          </w:p>
          <w:p w:rsidR="00921E67" w:rsidRPr="00921E67" w:rsidRDefault="00921E67">
            <w:pPr>
              <w:rPr>
                <w:rFonts w:ascii="Minion" w:hAnsi="Minion"/>
                <w:b/>
              </w:rPr>
            </w:pPr>
            <w:r w:rsidRPr="00921E67">
              <w:rPr>
                <w:rFonts w:ascii="Minion" w:hAnsi="Minion"/>
                <w:b/>
              </w:rPr>
              <w:t xml:space="preserve">Chris </w:t>
            </w:r>
            <w:proofErr w:type="spellStart"/>
            <w:r w:rsidRPr="00921E67">
              <w:rPr>
                <w:rFonts w:ascii="Minion" w:hAnsi="Minion"/>
                <w:b/>
              </w:rPr>
              <w:t>Mela</w:t>
            </w:r>
            <w:proofErr w:type="spellEnd"/>
          </w:p>
          <w:p w:rsidR="00921E67" w:rsidRDefault="00921E67">
            <w:pPr>
              <w:rPr>
                <w:rFonts w:ascii="Minion" w:hAnsi="Minion"/>
              </w:rPr>
            </w:pPr>
            <w:r>
              <w:rPr>
                <w:rFonts w:ascii="Minion" w:hAnsi="Minion"/>
              </w:rPr>
              <w:t>Roche Products Ltd</w:t>
            </w:r>
          </w:p>
        </w:tc>
        <w:tc>
          <w:tcPr>
            <w:tcW w:w="7007" w:type="dxa"/>
          </w:tcPr>
          <w:p w:rsidR="00921E67" w:rsidRPr="00921E67" w:rsidRDefault="00921E67" w:rsidP="00921E67">
            <w:pPr>
              <w:shd w:val="clear" w:color="auto" w:fill="FFFFFF"/>
              <w:rPr>
                <w:rFonts w:ascii="Arial" w:eastAsia="Times New Roman" w:hAnsi="Arial" w:cs="Arial"/>
                <w:color w:val="222222"/>
                <w:sz w:val="24"/>
                <w:szCs w:val="24"/>
                <w:lang w:val="en-GB" w:eastAsia="en-GB"/>
              </w:rPr>
            </w:pPr>
            <w:r w:rsidRPr="00921E67">
              <w:rPr>
                <w:rFonts w:ascii="Times New Roman" w:eastAsia="Times New Roman" w:hAnsi="Times New Roman" w:cs="Times New Roman"/>
                <w:color w:val="222222"/>
                <w:sz w:val="18"/>
                <w:szCs w:val="24"/>
                <w:lang w:eastAsia="en-GB"/>
              </w:rPr>
              <w:t>Immunology is viewed as a complex and daunting subject with a multitude of antibodies, interleukins, molecules, cells and pathways that interact in mysterious ways. This perception can worry anyone stating research in a new immunological area or disease. The reality is that the immune system spans almost every disease from aging to zoonosis and that certain concepts are common across all of these. By understanding some of these themes we can demystify immunology and turn the fear into fascination.</w:t>
            </w:r>
            <w:r w:rsidRPr="00921E67">
              <w:rPr>
                <w:rFonts w:ascii="Georgia" w:eastAsia="Times New Roman" w:hAnsi="Georgia" w:cs="Arial"/>
                <w:color w:val="20124D"/>
                <w:sz w:val="24"/>
                <w:szCs w:val="24"/>
                <w:lang w:val="en-GB" w:eastAsia="en-GB"/>
              </w:rPr>
              <w:t> </w:t>
            </w:r>
          </w:p>
        </w:tc>
      </w:tr>
    </w:tbl>
    <w:p w:rsidR="007807AC" w:rsidRDefault="007807AC">
      <w:pPr>
        <w:rPr>
          <w:rFonts w:ascii="Minion" w:hAnsi="Minion"/>
        </w:rPr>
      </w:pPr>
    </w:p>
    <w:p w:rsidR="007807AC" w:rsidRPr="007807AC" w:rsidRDefault="007807AC" w:rsidP="007807AC">
      <w:pPr>
        <w:rPr>
          <w:rFonts w:ascii="Minion" w:hAnsi="Minion"/>
          <w:b/>
        </w:rPr>
      </w:pPr>
      <w:r w:rsidRPr="007807AC">
        <w:rPr>
          <w:rFonts w:ascii="Minion" w:hAnsi="Minion"/>
          <w:b/>
        </w:rPr>
        <w:t>An approach for integrating existing knowledge into the statistical analysis</w:t>
      </w:r>
      <w:r>
        <w:rPr>
          <w:rFonts w:ascii="Minion" w:hAnsi="Minion"/>
          <w:b/>
        </w:rPr>
        <w:t xml:space="preserve"> </w:t>
      </w:r>
      <w:r w:rsidRPr="007807AC">
        <w:rPr>
          <w:rFonts w:ascii="Minion" w:hAnsi="Minion"/>
          <w:b/>
        </w:rPr>
        <w:t>of multiple immune markers:</w:t>
      </w:r>
      <w:r>
        <w:rPr>
          <w:rFonts w:ascii="Minion" w:hAnsi="Minion"/>
          <w:b/>
        </w:rPr>
        <w:t xml:space="preserve">  </w:t>
      </w:r>
      <w:r w:rsidRPr="007807AC">
        <w:rPr>
          <w:rFonts w:ascii="Minion" w:hAnsi="Minion"/>
          <w:b/>
        </w:rPr>
        <w:t>An application to cytokine data collected in a large immuno-epidemiological study aimed to investigate risk factors for atopy and asthma</w:t>
      </w:r>
    </w:p>
    <w:tbl>
      <w:tblPr>
        <w:tblStyle w:val="TableGrid"/>
        <w:tblW w:w="0" w:type="auto"/>
        <w:tblLook w:val="04A0" w:firstRow="1" w:lastRow="0" w:firstColumn="1" w:lastColumn="0" w:noHBand="0" w:noVBand="1"/>
      </w:tblPr>
      <w:tblGrid>
        <w:gridCol w:w="2256"/>
        <w:gridCol w:w="6760"/>
      </w:tblGrid>
      <w:tr w:rsidR="007807AC" w:rsidRPr="007807AC" w:rsidTr="007807AC">
        <w:tc>
          <w:tcPr>
            <w:tcW w:w="2235" w:type="dxa"/>
          </w:tcPr>
          <w:p w:rsidR="007807AC" w:rsidRDefault="007807AC">
            <w:pPr>
              <w:rPr>
                <w:rFonts w:ascii="Times New Roman" w:hAnsi="Times New Roman" w:cs="Times New Roman"/>
                <w:sz w:val="18"/>
              </w:rPr>
            </w:pPr>
            <w:r>
              <w:rPr>
                <w:rFonts w:ascii="Times New Roman" w:hAnsi="Times New Roman" w:cs="Times New Roman"/>
                <w:noProof/>
                <w:sz w:val="18"/>
                <w:lang w:val="en-GB" w:eastAsia="en-GB"/>
              </w:rPr>
              <w:drawing>
                <wp:inline distT="0" distB="0" distL="0" distR="0">
                  <wp:extent cx="1295400" cy="165571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statsgenserbe.jpg"/>
                          <pic:cNvPicPr/>
                        </pic:nvPicPr>
                        <pic:blipFill>
                          <a:blip r:embed="rId6">
                            <a:extLst>
                              <a:ext uri="{28A0092B-C50C-407E-A947-70E740481C1C}">
                                <a14:useLocalDpi xmlns:a14="http://schemas.microsoft.com/office/drawing/2010/main" val="0"/>
                              </a:ext>
                            </a:extLst>
                          </a:blip>
                          <a:stretch>
                            <a:fillRect/>
                          </a:stretch>
                        </pic:blipFill>
                        <pic:spPr>
                          <a:xfrm>
                            <a:off x="0" y="0"/>
                            <a:ext cx="1298266" cy="1659373"/>
                          </a:xfrm>
                          <a:prstGeom prst="rect">
                            <a:avLst/>
                          </a:prstGeom>
                        </pic:spPr>
                      </pic:pic>
                    </a:graphicData>
                  </a:graphic>
                </wp:inline>
              </w:drawing>
            </w:r>
          </w:p>
          <w:p w:rsidR="0086620D" w:rsidRPr="0086620D" w:rsidRDefault="0086620D" w:rsidP="0086620D">
            <w:pPr>
              <w:rPr>
                <w:rFonts w:ascii="Minion" w:hAnsi="Minion"/>
                <w:b/>
                <w:vertAlign w:val="superscript"/>
              </w:rPr>
            </w:pPr>
            <w:r w:rsidRPr="0086620D">
              <w:rPr>
                <w:rFonts w:ascii="Minion" w:hAnsi="Minion"/>
                <w:b/>
              </w:rPr>
              <w:t>Dr Bernd Genser</w:t>
            </w:r>
            <w:r w:rsidRPr="0086620D">
              <w:rPr>
                <w:rFonts w:ascii="Minion" w:hAnsi="Minion"/>
                <w:b/>
                <w:vertAlign w:val="superscript"/>
              </w:rPr>
              <w:t>1,2</w:t>
            </w:r>
            <w:r w:rsidRPr="0086620D">
              <w:rPr>
                <w:rFonts w:ascii="Minion" w:hAnsi="Minion"/>
                <w:b/>
              </w:rPr>
              <w:t xml:space="preserve">  </w:t>
            </w:r>
          </w:p>
          <w:p w:rsidR="0086620D" w:rsidRPr="0086620D" w:rsidRDefault="0086620D" w:rsidP="0086620D">
            <w:pPr>
              <w:rPr>
                <w:rFonts w:ascii="Minion" w:hAnsi="Minion"/>
                <w:i/>
                <w:sz w:val="20"/>
              </w:rPr>
            </w:pPr>
            <w:r w:rsidRPr="0086620D">
              <w:rPr>
                <w:rFonts w:ascii="Minion" w:hAnsi="Minion"/>
                <w:i/>
                <w:sz w:val="20"/>
              </w:rPr>
              <w:t xml:space="preserve">1. </w:t>
            </w:r>
            <w:proofErr w:type="spellStart"/>
            <w:r w:rsidRPr="0086620D">
              <w:rPr>
                <w:rFonts w:ascii="Minion" w:hAnsi="Minion"/>
                <w:i/>
                <w:sz w:val="20"/>
              </w:rPr>
              <w:t>BGStats</w:t>
            </w:r>
            <w:proofErr w:type="spellEnd"/>
            <w:r w:rsidRPr="0086620D">
              <w:rPr>
                <w:rFonts w:ascii="Minion" w:hAnsi="Minion"/>
                <w:i/>
                <w:sz w:val="20"/>
              </w:rPr>
              <w:t xml:space="preserve"> Consulting Vienna Austria</w:t>
            </w:r>
          </w:p>
          <w:p w:rsidR="0086620D" w:rsidRPr="007807AC" w:rsidRDefault="0086620D">
            <w:pPr>
              <w:rPr>
                <w:rFonts w:ascii="Times New Roman" w:hAnsi="Times New Roman" w:cs="Times New Roman"/>
                <w:sz w:val="18"/>
              </w:rPr>
            </w:pPr>
            <w:r w:rsidRPr="0086620D">
              <w:rPr>
                <w:rFonts w:ascii="Minion" w:hAnsi="Minion"/>
                <w:i/>
                <w:sz w:val="20"/>
              </w:rPr>
              <w:t>2. Mannheim Institute of Public Health, Social and Preventive Medicine, University of Heidelberg, Germany</w:t>
            </w:r>
          </w:p>
        </w:tc>
        <w:tc>
          <w:tcPr>
            <w:tcW w:w="7007" w:type="dxa"/>
          </w:tcPr>
          <w:p w:rsidR="007807AC" w:rsidRDefault="007807AC" w:rsidP="00D77D5B">
            <w:pPr>
              <w:rPr>
                <w:rFonts w:ascii="Times New Roman" w:eastAsia="Times New Roman" w:hAnsi="Times New Roman" w:cs="Times New Roman"/>
                <w:color w:val="222222"/>
                <w:sz w:val="18"/>
                <w:szCs w:val="24"/>
                <w:lang w:eastAsia="en-GB"/>
              </w:rPr>
            </w:pPr>
            <w:r w:rsidRPr="007807AC">
              <w:rPr>
                <w:rFonts w:ascii="Times New Roman" w:eastAsia="Times New Roman" w:hAnsi="Times New Roman" w:cs="Times New Roman"/>
                <w:color w:val="222222"/>
                <w:sz w:val="18"/>
                <w:szCs w:val="24"/>
                <w:lang w:eastAsia="en-GB"/>
              </w:rPr>
              <w:t>BACKGROUND:</w:t>
            </w:r>
            <w:r w:rsidRPr="00D77D5B">
              <w:rPr>
                <w:rFonts w:ascii="Times New Roman" w:eastAsia="Times New Roman" w:hAnsi="Times New Roman" w:cs="Times New Roman"/>
                <w:color w:val="222222"/>
                <w:sz w:val="18"/>
                <w:szCs w:val="24"/>
                <w:lang w:eastAsia="en-GB"/>
              </w:rPr>
              <w:t> </w:t>
            </w:r>
            <w:r w:rsidRPr="007807AC">
              <w:rPr>
                <w:rFonts w:ascii="Times New Roman" w:eastAsia="Times New Roman" w:hAnsi="Times New Roman" w:cs="Times New Roman"/>
                <w:color w:val="222222"/>
                <w:sz w:val="18"/>
                <w:szCs w:val="24"/>
                <w:lang w:eastAsia="en-GB"/>
              </w:rPr>
              <w:t>Immunologists often measure several correlated immunological markers, such as concentrations of different cytokines produced by different immune cells and/or measured under different conditions, to draw insights from complex immunological mechanisms. Although there have been recent methodological efforts to improve the statistical analysis of immunological data, a framework is still needed for the simultaneous analysis of multiple, often correlated, immune markers. This framework would allow the immunologists’ hypotheses about the</w:t>
            </w:r>
            <w:r w:rsidRPr="00D77D5B">
              <w:rPr>
                <w:rFonts w:ascii="Times New Roman" w:eastAsia="Times New Roman" w:hAnsi="Times New Roman" w:cs="Times New Roman"/>
                <w:color w:val="222222"/>
                <w:sz w:val="18"/>
                <w:szCs w:val="24"/>
                <w:lang w:eastAsia="en-GB"/>
              </w:rPr>
              <w:t> </w:t>
            </w:r>
            <w:r w:rsidRPr="007807AC">
              <w:rPr>
                <w:rFonts w:ascii="Times New Roman" w:eastAsia="Times New Roman" w:hAnsi="Times New Roman" w:cs="Times New Roman"/>
                <w:color w:val="222222"/>
                <w:sz w:val="18"/>
                <w:szCs w:val="24"/>
                <w:lang w:eastAsia="en-GB"/>
              </w:rPr>
              <w:t>underlying biological mechanisms to be integrated.</w:t>
            </w:r>
          </w:p>
          <w:p w:rsidR="00D77D5B" w:rsidRPr="00D77D5B" w:rsidRDefault="00D77D5B" w:rsidP="00D77D5B">
            <w:pPr>
              <w:rPr>
                <w:rFonts w:ascii="Times New Roman" w:eastAsia="Times New Roman" w:hAnsi="Times New Roman" w:cs="Times New Roman"/>
                <w:color w:val="222222"/>
                <w:sz w:val="18"/>
                <w:szCs w:val="24"/>
                <w:lang w:eastAsia="en-GB"/>
              </w:rPr>
            </w:pPr>
          </w:p>
          <w:p w:rsidR="007807AC" w:rsidRDefault="007807AC" w:rsidP="00D77D5B">
            <w:pPr>
              <w:rPr>
                <w:rFonts w:ascii="Times New Roman" w:eastAsia="Times New Roman" w:hAnsi="Times New Roman" w:cs="Times New Roman"/>
                <w:color w:val="222222"/>
                <w:sz w:val="18"/>
                <w:szCs w:val="24"/>
                <w:lang w:eastAsia="en-GB"/>
              </w:rPr>
            </w:pPr>
            <w:r w:rsidRPr="007807AC">
              <w:rPr>
                <w:rFonts w:ascii="Times New Roman" w:eastAsia="Times New Roman" w:hAnsi="Times New Roman" w:cs="Times New Roman"/>
                <w:color w:val="222222"/>
                <w:sz w:val="18"/>
                <w:szCs w:val="24"/>
                <w:lang w:eastAsia="en-GB"/>
              </w:rPr>
              <w:t>METHODS: We present an analytical approach for statistical analysis of correlated immune markers, such as those commonly collected in modern immuno-epidemiological studies.</w:t>
            </w:r>
          </w:p>
          <w:p w:rsidR="00D77D5B" w:rsidRPr="00D77D5B" w:rsidRDefault="00D77D5B" w:rsidP="00D77D5B">
            <w:pPr>
              <w:rPr>
                <w:rFonts w:ascii="Times New Roman" w:eastAsia="Times New Roman" w:hAnsi="Times New Roman" w:cs="Times New Roman"/>
                <w:color w:val="222222"/>
                <w:sz w:val="18"/>
                <w:szCs w:val="24"/>
                <w:lang w:eastAsia="en-GB"/>
              </w:rPr>
            </w:pPr>
          </w:p>
          <w:p w:rsidR="00D77D5B" w:rsidRDefault="007807AC" w:rsidP="00D77D5B">
            <w:pPr>
              <w:rPr>
                <w:rFonts w:ascii="Times New Roman" w:eastAsia="Times New Roman" w:hAnsi="Times New Roman" w:cs="Times New Roman"/>
                <w:color w:val="222222"/>
                <w:sz w:val="18"/>
                <w:szCs w:val="24"/>
                <w:lang w:eastAsia="en-GB"/>
              </w:rPr>
            </w:pPr>
            <w:r w:rsidRPr="007807AC">
              <w:rPr>
                <w:rFonts w:ascii="Times New Roman" w:eastAsia="Times New Roman" w:hAnsi="Times New Roman" w:cs="Times New Roman"/>
                <w:color w:val="222222"/>
                <w:sz w:val="18"/>
                <w:szCs w:val="24"/>
                <w:lang w:eastAsia="en-GB"/>
              </w:rPr>
              <w:t xml:space="preserve">RESULTS: We demonstrate </w:t>
            </w:r>
            <w:proofErr w:type="spellStart"/>
            <w:r w:rsidRPr="007807AC">
              <w:rPr>
                <w:rFonts w:ascii="Times New Roman" w:eastAsia="Times New Roman" w:hAnsi="Times New Roman" w:cs="Times New Roman"/>
                <w:color w:val="222222"/>
                <w:sz w:val="18"/>
                <w:szCs w:val="24"/>
                <w:lang w:eastAsia="en-GB"/>
              </w:rPr>
              <w:t>i</w:t>
            </w:r>
            <w:proofErr w:type="spellEnd"/>
            <w:r w:rsidRPr="007807AC">
              <w:rPr>
                <w:rFonts w:ascii="Times New Roman" w:eastAsia="Times New Roman" w:hAnsi="Times New Roman" w:cs="Times New Roman"/>
                <w:color w:val="222222"/>
                <w:sz w:val="18"/>
                <w:szCs w:val="24"/>
                <w:lang w:eastAsia="en-GB"/>
              </w:rPr>
              <w:t xml:space="preserve">) how to deal with interdependencies among multiple </w:t>
            </w:r>
          </w:p>
          <w:p w:rsidR="007807AC" w:rsidRDefault="007807AC" w:rsidP="00D77D5B">
            <w:pPr>
              <w:rPr>
                <w:rFonts w:ascii="Times New Roman" w:eastAsia="Times New Roman" w:hAnsi="Times New Roman" w:cs="Times New Roman"/>
                <w:color w:val="222222"/>
                <w:sz w:val="18"/>
                <w:szCs w:val="24"/>
                <w:lang w:eastAsia="en-GB"/>
              </w:rPr>
            </w:pPr>
            <w:r w:rsidRPr="007807AC">
              <w:rPr>
                <w:rFonts w:ascii="Times New Roman" w:eastAsia="Times New Roman" w:hAnsi="Times New Roman" w:cs="Times New Roman"/>
                <w:color w:val="222222"/>
                <w:sz w:val="18"/>
                <w:szCs w:val="24"/>
                <w:lang w:eastAsia="en-GB"/>
              </w:rPr>
              <w:t xml:space="preserve">measurements of the same immune marker, ii) how to </w:t>
            </w:r>
            <w:proofErr w:type="spellStart"/>
            <w:r w:rsidRPr="007807AC">
              <w:rPr>
                <w:rFonts w:ascii="Times New Roman" w:eastAsia="Times New Roman" w:hAnsi="Times New Roman" w:cs="Times New Roman"/>
                <w:color w:val="222222"/>
                <w:sz w:val="18"/>
                <w:szCs w:val="24"/>
                <w:lang w:eastAsia="en-GB"/>
              </w:rPr>
              <w:t>analyse</w:t>
            </w:r>
            <w:proofErr w:type="spellEnd"/>
            <w:r w:rsidRPr="007807AC">
              <w:rPr>
                <w:rFonts w:ascii="Times New Roman" w:eastAsia="Times New Roman" w:hAnsi="Times New Roman" w:cs="Times New Roman"/>
                <w:color w:val="222222"/>
                <w:sz w:val="18"/>
                <w:szCs w:val="24"/>
                <w:lang w:eastAsia="en-GB"/>
              </w:rPr>
              <w:t xml:space="preserve"> association patterns among different markers, iii) how to aggregate different measures and/or markers to immunological summary scores, iv) how to model the inter-relationships among these scores, and v) how to use these scores in epidemiological association analyses. We illustrate the application of our approach to multiple cytokine measurements from 818 children enrolled in a large immuno-epidemiological study (SCAALA Salvador), which aimed to quantify the major immunological mechanisms underlying atopic diseases or asthma. We demonstrate how to aggregate systematically the information captured in multiple cytokine measurements to immunological summary scores aimed at reflecting the presumed underlying immunological mechanisms (Th1/Th2 balance and immune regulatory network). We show how these aggregated immune scores can be used as predictors in regression models with outcomes of immunological studies (e.g. specific </w:t>
            </w:r>
            <w:proofErr w:type="spellStart"/>
            <w:r w:rsidRPr="007807AC">
              <w:rPr>
                <w:rFonts w:ascii="Times New Roman" w:eastAsia="Times New Roman" w:hAnsi="Times New Roman" w:cs="Times New Roman"/>
                <w:color w:val="222222"/>
                <w:sz w:val="18"/>
                <w:szCs w:val="24"/>
                <w:lang w:eastAsia="en-GB"/>
              </w:rPr>
              <w:t>IgE</w:t>
            </w:r>
            <w:proofErr w:type="spellEnd"/>
            <w:r w:rsidRPr="007807AC">
              <w:rPr>
                <w:rFonts w:ascii="Times New Roman" w:eastAsia="Times New Roman" w:hAnsi="Times New Roman" w:cs="Times New Roman"/>
                <w:color w:val="222222"/>
                <w:sz w:val="18"/>
                <w:szCs w:val="24"/>
                <w:lang w:eastAsia="en-GB"/>
              </w:rPr>
              <w:t>) and compare the results to those obtained by a traditional multivariate regression approach.</w:t>
            </w:r>
          </w:p>
          <w:p w:rsidR="00D77D5B" w:rsidRPr="00D77D5B" w:rsidRDefault="00D77D5B" w:rsidP="00D77D5B">
            <w:pPr>
              <w:rPr>
                <w:rFonts w:ascii="Times New Roman" w:eastAsia="Times New Roman" w:hAnsi="Times New Roman" w:cs="Times New Roman"/>
                <w:color w:val="222222"/>
                <w:sz w:val="18"/>
                <w:szCs w:val="24"/>
                <w:lang w:eastAsia="en-GB"/>
              </w:rPr>
            </w:pPr>
          </w:p>
          <w:p w:rsidR="007807AC" w:rsidRPr="007807AC" w:rsidRDefault="007807AC" w:rsidP="00D77D5B">
            <w:pPr>
              <w:rPr>
                <w:rFonts w:ascii="Times New Roman" w:eastAsia="Times New Roman" w:hAnsi="Times New Roman" w:cs="Times New Roman"/>
                <w:color w:val="222222"/>
                <w:sz w:val="18"/>
                <w:szCs w:val="24"/>
                <w:lang w:val="en-GB" w:eastAsia="en-GB"/>
              </w:rPr>
            </w:pPr>
            <w:r w:rsidRPr="007807AC">
              <w:rPr>
                <w:rFonts w:ascii="Times New Roman" w:eastAsia="Times New Roman" w:hAnsi="Times New Roman" w:cs="Times New Roman"/>
                <w:color w:val="222222"/>
                <w:sz w:val="18"/>
                <w:szCs w:val="24"/>
                <w:lang w:eastAsia="en-GB"/>
              </w:rPr>
              <w:t>CONCLUSION: The proposed analytical approach may be especially useful to quantify complex immune responses in immuno-epidemiological studies, where investigators examine the relationship among epidemiological patterns, immune response, and disease outcomes.</w:t>
            </w:r>
          </w:p>
          <w:p w:rsidR="007807AC" w:rsidRPr="007807AC" w:rsidRDefault="007807AC">
            <w:pPr>
              <w:rPr>
                <w:rFonts w:ascii="Times New Roman" w:hAnsi="Times New Roman" w:cs="Times New Roman"/>
                <w:sz w:val="18"/>
              </w:rPr>
            </w:pPr>
          </w:p>
        </w:tc>
      </w:tr>
    </w:tbl>
    <w:p w:rsidR="007807AC" w:rsidRDefault="007807AC">
      <w:pPr>
        <w:rPr>
          <w:rFonts w:ascii="Minion" w:hAnsi="Minion"/>
        </w:rPr>
      </w:pPr>
    </w:p>
    <w:p w:rsidR="00921E67" w:rsidRDefault="00921E67">
      <w:pPr>
        <w:rPr>
          <w:rFonts w:ascii="Minion" w:hAnsi="Minion"/>
        </w:rPr>
      </w:pPr>
    </w:p>
    <w:p w:rsidR="00921E67" w:rsidRDefault="00921E67">
      <w:pPr>
        <w:rPr>
          <w:rFonts w:ascii="Minion" w:hAnsi="Minion"/>
        </w:rPr>
      </w:pPr>
    </w:p>
    <w:p w:rsidR="00921E67" w:rsidRDefault="00921E67">
      <w:pPr>
        <w:rPr>
          <w:rFonts w:ascii="Minion" w:hAnsi="Minion"/>
        </w:rPr>
      </w:pPr>
    </w:p>
    <w:p w:rsidR="00921E67" w:rsidRDefault="00921E67">
      <w:pPr>
        <w:rPr>
          <w:rFonts w:ascii="Minion" w:hAnsi="Minion"/>
        </w:rPr>
      </w:pPr>
    </w:p>
    <w:p w:rsidR="00921E67" w:rsidRDefault="00921E67">
      <w:pPr>
        <w:rPr>
          <w:rFonts w:ascii="Minion" w:hAnsi="Minion"/>
          <w:b/>
        </w:rPr>
      </w:pPr>
      <w:r w:rsidRPr="00921E67">
        <w:rPr>
          <w:rFonts w:ascii="Minion" w:hAnsi="Minion"/>
          <w:b/>
        </w:rPr>
        <w:lastRenderedPageBreak/>
        <w:t>Innovative dose escalation and dose finding in immunology</w:t>
      </w:r>
    </w:p>
    <w:tbl>
      <w:tblPr>
        <w:tblStyle w:val="TableGrid"/>
        <w:tblW w:w="0" w:type="auto"/>
        <w:tblLook w:val="04A0" w:firstRow="1" w:lastRow="0" w:firstColumn="1" w:lastColumn="0" w:noHBand="0" w:noVBand="1"/>
      </w:tblPr>
      <w:tblGrid>
        <w:gridCol w:w="2214"/>
        <w:gridCol w:w="6802"/>
      </w:tblGrid>
      <w:tr w:rsidR="00921E67" w:rsidTr="00921E67">
        <w:tc>
          <w:tcPr>
            <w:tcW w:w="2235" w:type="dxa"/>
          </w:tcPr>
          <w:p w:rsidR="00921E67" w:rsidRDefault="00921E67">
            <w:pPr>
              <w:rPr>
                <w:rFonts w:ascii="Minion" w:hAnsi="Minion"/>
                <w:b/>
              </w:rPr>
            </w:pPr>
            <w:r>
              <w:rPr>
                <w:rFonts w:ascii="Minion" w:hAnsi="Minion"/>
                <w:b/>
                <w:noProof/>
                <w:lang w:val="en-GB" w:eastAsia="en-GB"/>
              </w:rPr>
              <w:drawing>
                <wp:inline distT="0" distB="0" distL="0" distR="0">
                  <wp:extent cx="933450" cy="933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un.jpg"/>
                          <pic:cNvPicPr/>
                        </pic:nvPicPr>
                        <pic:blipFill>
                          <a:blip r:embed="rId7">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inline>
              </w:drawing>
            </w:r>
          </w:p>
          <w:p w:rsidR="00921E67" w:rsidRDefault="00921E67">
            <w:pPr>
              <w:rPr>
                <w:rFonts w:ascii="Minion" w:hAnsi="Minion"/>
                <w:b/>
              </w:rPr>
            </w:pPr>
            <w:r>
              <w:rPr>
                <w:rFonts w:ascii="Minion" w:hAnsi="Minion"/>
                <w:b/>
              </w:rPr>
              <w:t>Alun Bedding</w:t>
            </w:r>
          </w:p>
          <w:p w:rsidR="00921E67" w:rsidRPr="00921E67" w:rsidRDefault="00921E67">
            <w:pPr>
              <w:rPr>
                <w:rFonts w:ascii="Minion" w:hAnsi="Minion"/>
              </w:rPr>
            </w:pPr>
            <w:r w:rsidRPr="00921E67">
              <w:rPr>
                <w:rFonts w:ascii="Minion" w:hAnsi="Minion"/>
              </w:rPr>
              <w:t>AstraZeneca</w:t>
            </w:r>
          </w:p>
        </w:tc>
        <w:tc>
          <w:tcPr>
            <w:tcW w:w="7007" w:type="dxa"/>
          </w:tcPr>
          <w:p w:rsidR="00921E67" w:rsidRDefault="00921E67">
            <w:pPr>
              <w:rPr>
                <w:rFonts w:ascii="Minion" w:hAnsi="Minion"/>
                <w:b/>
              </w:rPr>
            </w:pPr>
            <w:bookmarkStart w:id="0" w:name="_GoBack"/>
            <w:r w:rsidRPr="00921E67">
              <w:rPr>
                <w:rFonts w:ascii="Times New Roman" w:eastAsia="Times New Roman" w:hAnsi="Times New Roman" w:cs="Times New Roman"/>
                <w:color w:val="222222"/>
                <w:sz w:val="18"/>
                <w:szCs w:val="24"/>
                <w:lang w:eastAsia="en-GB"/>
              </w:rPr>
              <w:t xml:space="preserve">Many drugs that are being developed for auto-immune diseases, such as type I diabetes or ulcerative colitis have the potential to impact regulatory T-cells.  However, they also may impact the t-effector cells which may cause serious side effects.  New, innovative study designs are needed to be developed in order to study the dose response of these compounds.  Recent work by Waldron-Lynch et al (2014) has given rise to the potential of using exploratory adaptive dose finding designs in order to better </w:t>
            </w:r>
            <w:proofErr w:type="spellStart"/>
            <w:r w:rsidRPr="00921E67">
              <w:rPr>
                <w:rFonts w:ascii="Times New Roman" w:eastAsia="Times New Roman" w:hAnsi="Times New Roman" w:cs="Times New Roman"/>
                <w:color w:val="222222"/>
                <w:sz w:val="18"/>
                <w:szCs w:val="24"/>
                <w:lang w:eastAsia="en-GB"/>
              </w:rPr>
              <w:t>characterise</w:t>
            </w:r>
            <w:proofErr w:type="spellEnd"/>
            <w:r w:rsidRPr="00921E67">
              <w:rPr>
                <w:rFonts w:ascii="Times New Roman" w:eastAsia="Times New Roman" w:hAnsi="Times New Roman" w:cs="Times New Roman"/>
                <w:color w:val="222222"/>
                <w:sz w:val="18"/>
                <w:szCs w:val="24"/>
                <w:lang w:eastAsia="en-GB"/>
              </w:rPr>
              <w:t xml:space="preserve"> the dose response curves.  This talk will give details of potential dose escalation and dose finding designs that build on the work of Waldron-Lynch et al.  Innovative Bayesian, adaptive designs will be introduced with simulations of studies to show the operating characteristics.</w:t>
            </w:r>
            <w:bookmarkEnd w:id="0"/>
          </w:p>
        </w:tc>
      </w:tr>
    </w:tbl>
    <w:p w:rsidR="00921E67" w:rsidRPr="00921E67" w:rsidRDefault="00921E67">
      <w:pPr>
        <w:rPr>
          <w:rFonts w:ascii="Minion" w:hAnsi="Minion"/>
          <w:b/>
        </w:rPr>
      </w:pPr>
    </w:p>
    <w:p w:rsidR="00D77D5B" w:rsidRDefault="00D77D5B">
      <w:pPr>
        <w:rPr>
          <w:rFonts w:ascii="Minion" w:hAnsi="Minion"/>
          <w:b/>
        </w:rPr>
      </w:pPr>
      <w:r w:rsidRPr="00D77D5B">
        <w:rPr>
          <w:rFonts w:ascii="Minion" w:hAnsi="Minion"/>
          <w:b/>
        </w:rPr>
        <w:t>Leveraging Data across Multiple Immuno-Inflammation Indications: Early Clinical Development of a Novel Compound</w:t>
      </w:r>
    </w:p>
    <w:tbl>
      <w:tblPr>
        <w:tblStyle w:val="TableGrid"/>
        <w:tblW w:w="0" w:type="auto"/>
        <w:tblLook w:val="04A0" w:firstRow="1" w:lastRow="0" w:firstColumn="1" w:lastColumn="0" w:noHBand="0" w:noVBand="1"/>
      </w:tblPr>
      <w:tblGrid>
        <w:gridCol w:w="2183"/>
        <w:gridCol w:w="6833"/>
      </w:tblGrid>
      <w:tr w:rsidR="00D77D5B" w:rsidTr="00D77D5B">
        <w:tc>
          <w:tcPr>
            <w:tcW w:w="2235" w:type="dxa"/>
          </w:tcPr>
          <w:p w:rsidR="00D77D5B" w:rsidRDefault="00D77D5B">
            <w:pPr>
              <w:rPr>
                <w:rFonts w:ascii="Minion" w:hAnsi="Minion"/>
              </w:rPr>
            </w:pPr>
            <w:r w:rsidRPr="00D77D5B">
              <w:rPr>
                <w:rFonts w:ascii="Minion" w:hAnsi="Minion"/>
                <w:b/>
              </w:rPr>
              <w:t>Nicola Scott</w:t>
            </w:r>
            <w:r>
              <w:rPr>
                <w:rFonts w:ascii="Minion" w:hAnsi="Minion"/>
              </w:rPr>
              <w:t xml:space="preserve"> </w:t>
            </w:r>
          </w:p>
          <w:p w:rsidR="00D77D5B" w:rsidRDefault="00D77D5B">
            <w:pPr>
              <w:rPr>
                <w:rFonts w:ascii="Minion" w:hAnsi="Minion"/>
                <w:b/>
              </w:rPr>
            </w:pPr>
            <w:r w:rsidRPr="00096550">
              <w:rPr>
                <w:rFonts w:ascii="Minion" w:hAnsi="Minion"/>
              </w:rPr>
              <w:t>GSK</w:t>
            </w:r>
          </w:p>
        </w:tc>
        <w:tc>
          <w:tcPr>
            <w:tcW w:w="7007" w:type="dxa"/>
          </w:tcPr>
          <w:p w:rsidR="00D77D5B" w:rsidRPr="00D77D5B" w:rsidRDefault="00D77D5B">
            <w:pPr>
              <w:rPr>
                <w:rFonts w:ascii="Times New Roman" w:eastAsia="Times New Roman" w:hAnsi="Times New Roman" w:cs="Times New Roman"/>
                <w:color w:val="222222"/>
                <w:sz w:val="18"/>
                <w:szCs w:val="24"/>
                <w:lang w:eastAsia="en-GB"/>
              </w:rPr>
            </w:pPr>
            <w:r w:rsidRPr="00D77D5B">
              <w:rPr>
                <w:rFonts w:ascii="Times New Roman" w:eastAsia="Times New Roman" w:hAnsi="Times New Roman" w:cs="Times New Roman"/>
                <w:color w:val="222222"/>
                <w:sz w:val="18"/>
                <w:szCs w:val="24"/>
                <w:lang w:eastAsia="en-GB"/>
              </w:rPr>
              <w:t>Recent research has identified that necroptosis is the major driver of TNF-α</w:t>
            </w:r>
            <w:r w:rsidRPr="00D77D5B">
              <w:rPr>
                <w:rFonts w:ascii="Times New Roman" w:eastAsia="Times New Roman" w:hAnsi="Times New Roman" w:cs="Times New Roman"/>
                <w:sz w:val="18"/>
                <w:szCs w:val="24"/>
                <w:lang w:eastAsia="en-GB"/>
              </w:rPr>
              <w:t> </w:t>
            </w:r>
            <w:r w:rsidRPr="00D77D5B">
              <w:rPr>
                <w:rFonts w:ascii="Times New Roman" w:eastAsia="Times New Roman" w:hAnsi="Times New Roman" w:cs="Times New Roman"/>
                <w:color w:val="222222"/>
                <w:sz w:val="18"/>
                <w:szCs w:val="24"/>
                <w:lang w:eastAsia="en-GB"/>
              </w:rPr>
              <w:t>dependent inflammation and disease. A clinical development program for a first in class compound is currently assessing a target which blocks solely the TNF-α</w:t>
            </w:r>
            <w:r w:rsidRPr="00D77D5B">
              <w:rPr>
                <w:rFonts w:ascii="Times New Roman" w:eastAsia="Times New Roman" w:hAnsi="Times New Roman" w:cs="Times New Roman"/>
                <w:sz w:val="18"/>
                <w:szCs w:val="24"/>
                <w:lang w:eastAsia="en-GB"/>
              </w:rPr>
              <w:t> </w:t>
            </w:r>
            <w:r w:rsidRPr="00D77D5B">
              <w:rPr>
                <w:rFonts w:ascii="Times New Roman" w:eastAsia="Times New Roman" w:hAnsi="Times New Roman" w:cs="Times New Roman"/>
                <w:color w:val="222222"/>
                <w:sz w:val="18"/>
                <w:szCs w:val="24"/>
                <w:lang w:eastAsia="en-GB"/>
              </w:rPr>
              <w:t>necroptosis pathway. Following completion of the First Time in Human study, we will next focus in on the human validation of blocking this pathway, which in turn will result in a greater understanding of the compound and mechanism early in clinical development.  This will be achieved through experimental medicine (EM) studies in three</w:t>
            </w:r>
            <w:r w:rsidRPr="00D77D5B">
              <w:rPr>
                <w:rFonts w:ascii="Times New Roman" w:eastAsia="Times New Roman" w:hAnsi="Times New Roman" w:cs="Times New Roman"/>
                <w:sz w:val="18"/>
                <w:szCs w:val="24"/>
                <w:lang w:eastAsia="en-GB"/>
              </w:rPr>
              <w:t> </w:t>
            </w:r>
            <w:r w:rsidRPr="00D77D5B">
              <w:rPr>
                <w:rFonts w:ascii="Times New Roman" w:eastAsia="Times New Roman" w:hAnsi="Times New Roman" w:cs="Times New Roman"/>
                <w:color w:val="222222"/>
                <w:sz w:val="18"/>
                <w:szCs w:val="24"/>
                <w:lang w:eastAsia="en-GB"/>
              </w:rPr>
              <w:t>Immuno</w:t>
            </w:r>
            <w:r w:rsidRPr="00D77D5B">
              <w:rPr>
                <w:rFonts w:ascii="Times New Roman" w:eastAsia="Times New Roman" w:hAnsi="Times New Roman" w:cs="Times New Roman"/>
                <w:color w:val="222222"/>
                <w:sz w:val="18"/>
                <w:szCs w:val="24"/>
                <w:lang w:eastAsia="en-GB"/>
              </w:rPr>
              <w:noBreakHyphen/>
              <w:t>Inflammation indications that are treated with anti-TNFs:</w:t>
            </w:r>
            <w:r w:rsidRPr="00D77D5B">
              <w:rPr>
                <w:rFonts w:ascii="Times New Roman" w:eastAsia="Times New Roman" w:hAnsi="Times New Roman" w:cs="Times New Roman"/>
                <w:sz w:val="18"/>
                <w:szCs w:val="24"/>
                <w:lang w:eastAsia="en-GB"/>
              </w:rPr>
              <w:t> </w:t>
            </w:r>
            <w:r w:rsidRPr="00D77D5B">
              <w:rPr>
                <w:rFonts w:ascii="Times New Roman" w:eastAsia="Times New Roman" w:hAnsi="Times New Roman" w:cs="Times New Roman"/>
                <w:color w:val="222222"/>
                <w:sz w:val="18"/>
                <w:szCs w:val="24"/>
                <w:lang w:eastAsia="en-GB"/>
              </w:rPr>
              <w:t>Psoriasis, Rheumatoid Arthritis and Ulcerative Colitis.  Each study is extremely data rich due to the number of biomarkers, mechanistic and efficacy endpoints that will be collected.  These EM studies will be conducted in parallel, thus providing a unique opportunity to leverage data across the three indications in order to benchmark against anti-TNFs, and thus inform the clinical development of this compound</w:t>
            </w:r>
          </w:p>
        </w:tc>
      </w:tr>
    </w:tbl>
    <w:p w:rsidR="00D77D5B" w:rsidRDefault="00D77D5B">
      <w:pPr>
        <w:rPr>
          <w:rFonts w:ascii="Minion" w:hAnsi="Minion"/>
          <w:b/>
        </w:rPr>
      </w:pPr>
    </w:p>
    <w:p w:rsidR="00F565B8" w:rsidRDefault="00F565B8" w:rsidP="00F565B8">
      <w:pPr>
        <w:rPr>
          <w:rFonts w:ascii="Minion" w:hAnsi="Minion"/>
          <w:b/>
        </w:rPr>
      </w:pPr>
    </w:p>
    <w:p w:rsidR="00F565B8" w:rsidRDefault="00F565B8" w:rsidP="00F565B8">
      <w:pPr>
        <w:rPr>
          <w:rFonts w:ascii="Minion" w:hAnsi="Minion"/>
          <w:b/>
        </w:rPr>
      </w:pPr>
    </w:p>
    <w:p w:rsidR="00F565B8" w:rsidRDefault="00F565B8" w:rsidP="00F565B8">
      <w:pPr>
        <w:rPr>
          <w:rFonts w:ascii="Minion" w:hAnsi="Minion"/>
          <w:b/>
        </w:rPr>
      </w:pPr>
      <w:r w:rsidRPr="00F565B8">
        <w:rPr>
          <w:rFonts w:ascii="Minion" w:hAnsi="Minion"/>
          <w:b/>
        </w:rPr>
        <w:t>Complex study design in patients with Hereditary Periodic Feve</w:t>
      </w:r>
      <w:r>
        <w:rPr>
          <w:rFonts w:ascii="Minion" w:hAnsi="Minion"/>
          <w:b/>
        </w:rPr>
        <w:t xml:space="preserve">rs (HPF), an orphan autoimmune </w:t>
      </w:r>
      <w:r w:rsidRPr="00F565B8">
        <w:rPr>
          <w:rFonts w:ascii="Minion" w:hAnsi="Minion"/>
          <w:b/>
        </w:rPr>
        <w:t>disease.</w:t>
      </w:r>
    </w:p>
    <w:tbl>
      <w:tblPr>
        <w:tblStyle w:val="TableGrid"/>
        <w:tblW w:w="0" w:type="auto"/>
        <w:tblLook w:val="04A0" w:firstRow="1" w:lastRow="0" w:firstColumn="1" w:lastColumn="0" w:noHBand="0" w:noVBand="1"/>
      </w:tblPr>
      <w:tblGrid>
        <w:gridCol w:w="2190"/>
        <w:gridCol w:w="6826"/>
      </w:tblGrid>
      <w:tr w:rsidR="00F565B8" w:rsidTr="00F565B8">
        <w:tc>
          <w:tcPr>
            <w:tcW w:w="2235" w:type="dxa"/>
          </w:tcPr>
          <w:p w:rsidR="00F565B8" w:rsidRDefault="00F565B8" w:rsidP="00F565B8">
            <w:pPr>
              <w:rPr>
                <w:rFonts w:ascii="Minion" w:hAnsi="Minion"/>
                <w:b/>
              </w:rPr>
            </w:pPr>
            <w:r w:rsidRPr="00F565B8">
              <w:rPr>
                <w:rFonts w:ascii="Minion" w:hAnsi="Minion"/>
                <w:b/>
              </w:rPr>
              <w:t>Karine Lheritier PhD</w:t>
            </w:r>
            <w:r w:rsidRPr="00096550">
              <w:rPr>
                <w:rFonts w:ascii="Minion" w:hAnsi="Minion"/>
              </w:rPr>
              <w:t xml:space="preserve"> Novartis</w:t>
            </w:r>
          </w:p>
        </w:tc>
        <w:tc>
          <w:tcPr>
            <w:tcW w:w="7007" w:type="dxa"/>
          </w:tcPr>
          <w:p w:rsidR="00F565B8" w:rsidRPr="00F565B8" w:rsidRDefault="00F565B8" w:rsidP="00F565B8">
            <w:pPr>
              <w:rPr>
                <w:rFonts w:ascii="Times New Roman" w:eastAsia="Times New Roman" w:hAnsi="Times New Roman" w:cs="Times New Roman"/>
                <w:color w:val="222222"/>
                <w:sz w:val="18"/>
                <w:szCs w:val="24"/>
                <w:lang w:eastAsia="en-GB"/>
              </w:rPr>
            </w:pPr>
            <w:r w:rsidRPr="00F565B8">
              <w:rPr>
                <w:rFonts w:ascii="Times New Roman" w:eastAsia="Times New Roman" w:hAnsi="Times New Roman" w:cs="Times New Roman"/>
                <w:color w:val="222222"/>
                <w:sz w:val="18"/>
                <w:szCs w:val="24"/>
                <w:lang w:eastAsia="en-GB"/>
              </w:rPr>
              <w:t xml:space="preserve">Familial Mediterranean fever (FMF), </w:t>
            </w:r>
            <w:proofErr w:type="spellStart"/>
            <w:r w:rsidRPr="00F565B8">
              <w:rPr>
                <w:rFonts w:ascii="Times New Roman" w:eastAsia="Times New Roman" w:hAnsi="Times New Roman" w:cs="Times New Roman"/>
                <w:color w:val="222222"/>
                <w:sz w:val="18"/>
                <w:szCs w:val="24"/>
                <w:lang w:eastAsia="en-GB"/>
              </w:rPr>
              <w:t>Hyperimmunoglob</w:t>
            </w:r>
            <w:r>
              <w:rPr>
                <w:rFonts w:ascii="Times New Roman" w:eastAsia="Times New Roman" w:hAnsi="Times New Roman" w:cs="Times New Roman"/>
                <w:color w:val="222222"/>
                <w:sz w:val="18"/>
                <w:szCs w:val="24"/>
                <w:lang w:eastAsia="en-GB"/>
              </w:rPr>
              <w:t>ulinemia</w:t>
            </w:r>
            <w:proofErr w:type="spellEnd"/>
            <w:r>
              <w:rPr>
                <w:rFonts w:ascii="Times New Roman" w:eastAsia="Times New Roman" w:hAnsi="Times New Roman" w:cs="Times New Roman"/>
                <w:color w:val="222222"/>
                <w:sz w:val="18"/>
                <w:szCs w:val="24"/>
                <w:lang w:eastAsia="en-GB"/>
              </w:rPr>
              <w:t xml:space="preserve"> D with periodic fever </w:t>
            </w:r>
            <w:r w:rsidRPr="00F565B8">
              <w:rPr>
                <w:rFonts w:ascii="Times New Roman" w:eastAsia="Times New Roman" w:hAnsi="Times New Roman" w:cs="Times New Roman"/>
                <w:color w:val="222222"/>
                <w:sz w:val="18"/>
                <w:szCs w:val="24"/>
                <w:lang w:eastAsia="en-GB"/>
              </w:rPr>
              <w:t>syndrome (HIDS) and TNF-receptor–associated periodic syn</w:t>
            </w:r>
            <w:r>
              <w:rPr>
                <w:rFonts w:ascii="Times New Roman" w:eastAsia="Times New Roman" w:hAnsi="Times New Roman" w:cs="Times New Roman"/>
                <w:color w:val="222222"/>
                <w:sz w:val="18"/>
                <w:szCs w:val="24"/>
                <w:lang w:eastAsia="en-GB"/>
              </w:rPr>
              <w:t xml:space="preserve">drome (TRAPS) are a cluster of </w:t>
            </w:r>
            <w:r w:rsidRPr="00F565B8">
              <w:rPr>
                <w:rFonts w:ascii="Times New Roman" w:eastAsia="Times New Roman" w:hAnsi="Times New Roman" w:cs="Times New Roman"/>
                <w:color w:val="222222"/>
                <w:sz w:val="18"/>
                <w:szCs w:val="24"/>
                <w:lang w:eastAsia="en-GB"/>
              </w:rPr>
              <w:t>autoimmune disease called HPF syndromes. These are rare an</w:t>
            </w:r>
            <w:r>
              <w:rPr>
                <w:rFonts w:ascii="Times New Roman" w:eastAsia="Times New Roman" w:hAnsi="Times New Roman" w:cs="Times New Roman"/>
                <w:color w:val="222222"/>
                <w:sz w:val="18"/>
                <w:szCs w:val="24"/>
                <w:lang w:eastAsia="en-GB"/>
              </w:rPr>
              <w:t xml:space="preserve">d distinct heritable disorders </w:t>
            </w:r>
            <w:r w:rsidRPr="00F565B8">
              <w:rPr>
                <w:rFonts w:ascii="Times New Roman" w:eastAsia="Times New Roman" w:hAnsi="Times New Roman" w:cs="Times New Roman"/>
                <w:color w:val="222222"/>
                <w:sz w:val="18"/>
                <w:szCs w:val="24"/>
                <w:lang w:eastAsia="en-GB"/>
              </w:rPr>
              <w:t>characterized by short and recurrent attacks of fever and severe loc</w:t>
            </w:r>
            <w:r>
              <w:rPr>
                <w:rFonts w:ascii="Times New Roman" w:eastAsia="Times New Roman" w:hAnsi="Times New Roman" w:cs="Times New Roman"/>
                <w:color w:val="222222"/>
                <w:sz w:val="18"/>
                <w:szCs w:val="24"/>
                <w:lang w:eastAsia="en-GB"/>
              </w:rPr>
              <w:t xml:space="preserve">alized inflammation that occur </w:t>
            </w:r>
            <w:r w:rsidRPr="00F565B8">
              <w:rPr>
                <w:rFonts w:ascii="Times New Roman" w:eastAsia="Times New Roman" w:hAnsi="Times New Roman" w:cs="Times New Roman"/>
                <w:color w:val="222222"/>
                <w:sz w:val="18"/>
                <w:szCs w:val="24"/>
                <w:lang w:eastAsia="en-GB"/>
              </w:rPr>
              <w:t xml:space="preserve">periodically or irregularly. </w:t>
            </w:r>
          </w:p>
          <w:p w:rsidR="00F565B8" w:rsidRPr="00F565B8" w:rsidRDefault="00F565B8" w:rsidP="00F565B8">
            <w:pPr>
              <w:rPr>
                <w:rFonts w:ascii="Times New Roman" w:eastAsia="Times New Roman" w:hAnsi="Times New Roman" w:cs="Times New Roman"/>
                <w:color w:val="222222"/>
                <w:sz w:val="18"/>
                <w:szCs w:val="24"/>
                <w:lang w:eastAsia="en-GB"/>
              </w:rPr>
            </w:pPr>
          </w:p>
          <w:p w:rsidR="00F565B8" w:rsidRPr="00F565B8" w:rsidRDefault="00F565B8" w:rsidP="00F565B8">
            <w:pPr>
              <w:rPr>
                <w:rFonts w:ascii="Times New Roman" w:eastAsia="Times New Roman" w:hAnsi="Times New Roman" w:cs="Times New Roman"/>
                <w:color w:val="222222"/>
                <w:sz w:val="18"/>
                <w:szCs w:val="24"/>
                <w:lang w:eastAsia="en-GB"/>
              </w:rPr>
            </w:pPr>
            <w:r w:rsidRPr="00F565B8">
              <w:rPr>
                <w:rFonts w:ascii="Times New Roman" w:eastAsia="Times New Roman" w:hAnsi="Times New Roman" w:cs="Times New Roman"/>
                <w:color w:val="222222"/>
                <w:sz w:val="18"/>
                <w:szCs w:val="24"/>
                <w:lang w:eastAsia="en-GB"/>
              </w:rPr>
              <w:t>The planning of a single study within this cluster of autoimmune disease presents multiple and complex design challenges.</w:t>
            </w:r>
            <w:r>
              <w:rPr>
                <w:rFonts w:ascii="Times New Roman" w:eastAsia="Times New Roman" w:hAnsi="Times New Roman" w:cs="Times New Roman"/>
                <w:color w:val="222222"/>
                <w:sz w:val="18"/>
                <w:szCs w:val="24"/>
                <w:lang w:eastAsia="en-GB"/>
              </w:rPr>
              <w:t xml:space="preserve"> </w:t>
            </w:r>
            <w:proofErr w:type="spellStart"/>
            <w:r w:rsidRPr="00F565B8">
              <w:rPr>
                <w:rFonts w:ascii="Times New Roman" w:eastAsia="Times New Roman" w:hAnsi="Times New Roman" w:cs="Times New Roman"/>
                <w:color w:val="222222"/>
                <w:sz w:val="18"/>
                <w:szCs w:val="24"/>
                <w:lang w:eastAsia="en-GB"/>
              </w:rPr>
              <w:t>Canakinumab</w:t>
            </w:r>
            <w:proofErr w:type="spellEnd"/>
            <w:r w:rsidRPr="00F565B8">
              <w:rPr>
                <w:rFonts w:ascii="Times New Roman" w:eastAsia="Times New Roman" w:hAnsi="Times New Roman" w:cs="Times New Roman"/>
                <w:color w:val="222222"/>
                <w:sz w:val="18"/>
                <w:szCs w:val="24"/>
                <w:lang w:eastAsia="en-GB"/>
              </w:rPr>
              <w:t xml:space="preserve"> is an anti-interleukin-1β monoclonal antibody being developed for the treatment of IL-1β - driven inflammatory diseases and has already been shown to be effective in patients with CAPS which is also classified under this single term of HPF syndromes.</w:t>
            </w:r>
          </w:p>
          <w:p w:rsidR="00F565B8" w:rsidRPr="00F565B8" w:rsidRDefault="00F565B8" w:rsidP="00F565B8">
            <w:pPr>
              <w:rPr>
                <w:rFonts w:ascii="Times New Roman" w:eastAsia="Times New Roman" w:hAnsi="Times New Roman" w:cs="Times New Roman"/>
                <w:color w:val="222222"/>
                <w:sz w:val="18"/>
                <w:szCs w:val="24"/>
                <w:lang w:eastAsia="en-GB"/>
              </w:rPr>
            </w:pPr>
          </w:p>
          <w:p w:rsidR="00F565B8" w:rsidRPr="00F565B8" w:rsidRDefault="00F565B8" w:rsidP="00F565B8">
            <w:pPr>
              <w:rPr>
                <w:rFonts w:ascii="Times New Roman" w:eastAsia="Times New Roman" w:hAnsi="Times New Roman" w:cs="Times New Roman"/>
                <w:color w:val="222222"/>
                <w:sz w:val="18"/>
                <w:szCs w:val="24"/>
                <w:lang w:eastAsia="en-GB"/>
              </w:rPr>
            </w:pPr>
            <w:r w:rsidRPr="00F565B8">
              <w:rPr>
                <w:rFonts w:ascii="Times New Roman" w:eastAsia="Times New Roman" w:hAnsi="Times New Roman" w:cs="Times New Roman"/>
                <w:color w:val="222222"/>
                <w:sz w:val="18"/>
                <w:szCs w:val="24"/>
                <w:lang w:eastAsia="en-GB"/>
              </w:rPr>
              <w:t xml:space="preserve">Efficacy and safety of </w:t>
            </w:r>
            <w:proofErr w:type="spellStart"/>
            <w:r w:rsidRPr="00F565B8">
              <w:rPr>
                <w:rFonts w:ascii="Times New Roman" w:eastAsia="Times New Roman" w:hAnsi="Times New Roman" w:cs="Times New Roman"/>
                <w:color w:val="222222"/>
                <w:sz w:val="18"/>
                <w:szCs w:val="24"/>
                <w:lang w:eastAsia="en-GB"/>
              </w:rPr>
              <w:t>Canakinumab</w:t>
            </w:r>
            <w:proofErr w:type="spellEnd"/>
            <w:r w:rsidRPr="00F565B8">
              <w:rPr>
                <w:rFonts w:ascii="Times New Roman" w:eastAsia="Times New Roman" w:hAnsi="Times New Roman" w:cs="Times New Roman"/>
                <w:color w:val="222222"/>
                <w:sz w:val="18"/>
                <w:szCs w:val="24"/>
                <w:lang w:eastAsia="en-GB"/>
              </w:rPr>
              <w:t xml:space="preserve"> in colchicine resistan</w:t>
            </w:r>
            <w:r>
              <w:rPr>
                <w:rFonts w:ascii="Times New Roman" w:eastAsia="Times New Roman" w:hAnsi="Times New Roman" w:cs="Times New Roman"/>
                <w:color w:val="222222"/>
                <w:sz w:val="18"/>
                <w:szCs w:val="24"/>
                <w:lang w:eastAsia="en-GB"/>
              </w:rPr>
              <w:t xml:space="preserve">t FMF, HIDS and TRAPS patients </w:t>
            </w:r>
            <w:r w:rsidRPr="00F565B8">
              <w:rPr>
                <w:rFonts w:ascii="Times New Roman" w:eastAsia="Times New Roman" w:hAnsi="Times New Roman" w:cs="Times New Roman"/>
                <w:color w:val="222222"/>
                <w:sz w:val="18"/>
                <w:szCs w:val="24"/>
                <w:lang w:eastAsia="en-GB"/>
              </w:rPr>
              <w:t xml:space="preserve">have been shown in phase II studies. However, there are currently no approved treatments for </w:t>
            </w:r>
          </w:p>
          <w:p w:rsidR="00F565B8" w:rsidRPr="00F565B8" w:rsidRDefault="00F565B8" w:rsidP="00F565B8">
            <w:pPr>
              <w:rPr>
                <w:rFonts w:ascii="Times New Roman" w:eastAsia="Times New Roman" w:hAnsi="Times New Roman" w:cs="Times New Roman"/>
                <w:color w:val="222222"/>
                <w:sz w:val="18"/>
                <w:szCs w:val="24"/>
                <w:lang w:eastAsia="en-GB"/>
              </w:rPr>
            </w:pPr>
            <w:proofErr w:type="gramStart"/>
            <w:r>
              <w:rPr>
                <w:rFonts w:ascii="Times New Roman" w:eastAsia="Times New Roman" w:hAnsi="Times New Roman" w:cs="Times New Roman"/>
                <w:color w:val="222222"/>
                <w:sz w:val="18"/>
                <w:szCs w:val="24"/>
                <w:lang w:eastAsia="en-GB"/>
              </w:rPr>
              <w:t>these</w:t>
            </w:r>
            <w:proofErr w:type="gramEnd"/>
            <w:r>
              <w:rPr>
                <w:rFonts w:ascii="Times New Roman" w:eastAsia="Times New Roman" w:hAnsi="Times New Roman" w:cs="Times New Roman"/>
                <w:color w:val="222222"/>
                <w:sz w:val="18"/>
                <w:szCs w:val="24"/>
                <w:lang w:eastAsia="en-GB"/>
              </w:rPr>
              <w:t xml:space="preserve"> conditions. </w:t>
            </w:r>
            <w:r w:rsidRPr="00F565B8">
              <w:rPr>
                <w:rFonts w:ascii="Times New Roman" w:eastAsia="Times New Roman" w:hAnsi="Times New Roman" w:cs="Times New Roman"/>
                <w:color w:val="222222"/>
                <w:sz w:val="18"/>
                <w:szCs w:val="24"/>
                <w:lang w:eastAsia="en-GB"/>
              </w:rPr>
              <w:t>Our challenge was to design a single study on patients suffering</w:t>
            </w:r>
            <w:r>
              <w:rPr>
                <w:rFonts w:ascii="Times New Roman" w:eastAsia="Times New Roman" w:hAnsi="Times New Roman" w:cs="Times New Roman"/>
                <w:color w:val="222222"/>
                <w:sz w:val="18"/>
                <w:szCs w:val="24"/>
                <w:lang w:eastAsia="en-GB"/>
              </w:rPr>
              <w:t xml:space="preserve"> from these 3 rare conditions. </w:t>
            </w:r>
            <w:r w:rsidRPr="00F565B8">
              <w:rPr>
                <w:rFonts w:ascii="Times New Roman" w:eastAsia="Times New Roman" w:hAnsi="Times New Roman" w:cs="Times New Roman"/>
                <w:color w:val="222222"/>
                <w:sz w:val="18"/>
                <w:szCs w:val="24"/>
                <w:lang w:eastAsia="en-GB"/>
              </w:rPr>
              <w:t xml:space="preserve">This required inclusion of a </w:t>
            </w:r>
            <w:proofErr w:type="spellStart"/>
            <w:r w:rsidRPr="00F565B8">
              <w:rPr>
                <w:rFonts w:ascii="Times New Roman" w:eastAsia="Times New Roman" w:hAnsi="Times New Roman" w:cs="Times New Roman"/>
                <w:color w:val="222222"/>
                <w:sz w:val="18"/>
                <w:szCs w:val="24"/>
                <w:lang w:eastAsia="en-GB"/>
              </w:rPr>
              <w:t>randomised</w:t>
            </w:r>
            <w:proofErr w:type="spellEnd"/>
            <w:r w:rsidRPr="00F565B8">
              <w:rPr>
                <w:rFonts w:ascii="Times New Roman" w:eastAsia="Times New Roman" w:hAnsi="Times New Roman" w:cs="Times New Roman"/>
                <w:color w:val="222222"/>
                <w:sz w:val="18"/>
                <w:szCs w:val="24"/>
                <w:lang w:eastAsia="en-GB"/>
              </w:rPr>
              <w:t>, double-blind, pl</w:t>
            </w:r>
            <w:r>
              <w:rPr>
                <w:rFonts w:ascii="Times New Roman" w:eastAsia="Times New Roman" w:hAnsi="Times New Roman" w:cs="Times New Roman"/>
                <w:color w:val="222222"/>
                <w:sz w:val="18"/>
                <w:szCs w:val="24"/>
                <w:lang w:eastAsia="en-GB"/>
              </w:rPr>
              <w:t xml:space="preserve">acebo-control and a randomized </w:t>
            </w:r>
            <w:r w:rsidRPr="00F565B8">
              <w:rPr>
                <w:rFonts w:ascii="Times New Roman" w:eastAsia="Times New Roman" w:hAnsi="Times New Roman" w:cs="Times New Roman"/>
                <w:color w:val="222222"/>
                <w:sz w:val="18"/>
                <w:szCs w:val="24"/>
                <w:lang w:eastAsia="en-GB"/>
              </w:rPr>
              <w:t>withdrawal element, a long-term follow-up part, in addition to clinic</w:t>
            </w:r>
            <w:r>
              <w:rPr>
                <w:rFonts w:ascii="Times New Roman" w:eastAsia="Times New Roman" w:hAnsi="Times New Roman" w:cs="Times New Roman"/>
                <w:color w:val="222222"/>
                <w:sz w:val="18"/>
                <w:szCs w:val="24"/>
                <w:lang w:eastAsia="en-GB"/>
              </w:rPr>
              <w:t>al constraints such as up-</w:t>
            </w:r>
            <w:r w:rsidRPr="00F565B8">
              <w:rPr>
                <w:rFonts w:ascii="Times New Roman" w:eastAsia="Times New Roman" w:hAnsi="Times New Roman" w:cs="Times New Roman"/>
                <w:color w:val="222222"/>
                <w:sz w:val="18"/>
                <w:szCs w:val="24"/>
                <w:lang w:eastAsia="en-GB"/>
              </w:rPr>
              <w:t>titration of the dose, change in the dose frequency, co-primary eff</w:t>
            </w:r>
            <w:r>
              <w:rPr>
                <w:rFonts w:ascii="Times New Roman" w:eastAsia="Times New Roman" w:hAnsi="Times New Roman" w:cs="Times New Roman"/>
                <w:color w:val="222222"/>
                <w:sz w:val="18"/>
                <w:szCs w:val="24"/>
                <w:lang w:eastAsia="en-GB"/>
              </w:rPr>
              <w:t xml:space="preserve">icacy endpoints with different </w:t>
            </w:r>
            <w:proofErr w:type="spellStart"/>
            <w:r w:rsidRPr="00F565B8">
              <w:rPr>
                <w:rFonts w:ascii="Times New Roman" w:eastAsia="Times New Roman" w:hAnsi="Times New Roman" w:cs="Times New Roman"/>
                <w:color w:val="222222"/>
                <w:sz w:val="18"/>
                <w:szCs w:val="24"/>
                <w:lang w:eastAsia="en-GB"/>
              </w:rPr>
              <w:t>timepoints</w:t>
            </w:r>
            <w:proofErr w:type="spellEnd"/>
            <w:r w:rsidRPr="00F565B8">
              <w:rPr>
                <w:rFonts w:ascii="Times New Roman" w:eastAsia="Times New Roman" w:hAnsi="Times New Roman" w:cs="Times New Roman"/>
                <w:color w:val="222222"/>
                <w:sz w:val="18"/>
                <w:szCs w:val="24"/>
                <w:lang w:eastAsia="en-GB"/>
              </w:rPr>
              <w:t>. Requests from different health authorities such as t</w:t>
            </w:r>
            <w:r>
              <w:rPr>
                <w:rFonts w:ascii="Times New Roman" w:eastAsia="Times New Roman" w:hAnsi="Times New Roman" w:cs="Times New Roman"/>
                <w:color w:val="222222"/>
                <w:sz w:val="18"/>
                <w:szCs w:val="24"/>
                <w:lang w:eastAsia="en-GB"/>
              </w:rPr>
              <w:t xml:space="preserve">he </w:t>
            </w:r>
            <w:proofErr w:type="spellStart"/>
            <w:r>
              <w:rPr>
                <w:rFonts w:ascii="Times New Roman" w:eastAsia="Times New Roman" w:hAnsi="Times New Roman" w:cs="Times New Roman"/>
                <w:color w:val="222222"/>
                <w:sz w:val="18"/>
                <w:szCs w:val="24"/>
                <w:lang w:eastAsia="en-GB"/>
              </w:rPr>
              <w:t>Paediatric</w:t>
            </w:r>
            <w:proofErr w:type="spellEnd"/>
            <w:r>
              <w:rPr>
                <w:rFonts w:ascii="Times New Roman" w:eastAsia="Times New Roman" w:hAnsi="Times New Roman" w:cs="Times New Roman"/>
                <w:color w:val="222222"/>
                <w:sz w:val="18"/>
                <w:szCs w:val="24"/>
                <w:lang w:eastAsia="en-GB"/>
              </w:rPr>
              <w:t xml:space="preserve"> Committee at the </w:t>
            </w:r>
            <w:r w:rsidRPr="00F565B8">
              <w:rPr>
                <w:rFonts w:ascii="Times New Roman" w:eastAsia="Times New Roman" w:hAnsi="Times New Roman" w:cs="Times New Roman"/>
                <w:color w:val="222222"/>
                <w:sz w:val="18"/>
                <w:szCs w:val="24"/>
                <w:lang w:eastAsia="en-GB"/>
              </w:rPr>
              <w:t>European to include patients &gt;28 days in this clinical trial were also built into the design.</w:t>
            </w:r>
          </w:p>
        </w:tc>
      </w:tr>
    </w:tbl>
    <w:p w:rsidR="00F565B8" w:rsidRDefault="00F565B8" w:rsidP="00F565B8">
      <w:pPr>
        <w:rPr>
          <w:rFonts w:ascii="Minion" w:hAnsi="Minion"/>
          <w:b/>
        </w:rPr>
      </w:pPr>
    </w:p>
    <w:p w:rsidR="00281A58" w:rsidRDefault="00281A58" w:rsidP="00F565B8">
      <w:pPr>
        <w:rPr>
          <w:rFonts w:ascii="Minion" w:hAnsi="Minion"/>
          <w:b/>
        </w:rPr>
      </w:pPr>
      <w:r w:rsidRPr="00281A58">
        <w:rPr>
          <w:rFonts w:ascii="Minion" w:hAnsi="Minion"/>
          <w:b/>
        </w:rPr>
        <w:lastRenderedPageBreak/>
        <w:t>A bioequivalence study design which includes the option for sample size re-estimation (SSR) at the Interim Analysis</w:t>
      </w:r>
    </w:p>
    <w:tbl>
      <w:tblPr>
        <w:tblStyle w:val="TableGrid"/>
        <w:tblW w:w="0" w:type="auto"/>
        <w:tblLook w:val="04A0" w:firstRow="1" w:lastRow="0" w:firstColumn="1" w:lastColumn="0" w:noHBand="0" w:noVBand="1"/>
      </w:tblPr>
      <w:tblGrid>
        <w:gridCol w:w="2869"/>
        <w:gridCol w:w="6147"/>
      </w:tblGrid>
      <w:tr w:rsidR="00281A58" w:rsidTr="00281A58">
        <w:tc>
          <w:tcPr>
            <w:tcW w:w="2235" w:type="dxa"/>
          </w:tcPr>
          <w:p w:rsidR="00921E67" w:rsidRDefault="00921E67" w:rsidP="00F565B8">
            <w:pPr>
              <w:rPr>
                <w:rFonts w:ascii="Minion" w:hAnsi="Minion"/>
                <w:b/>
              </w:rPr>
            </w:pPr>
            <w:r>
              <w:rPr>
                <w:rFonts w:ascii="Minion" w:hAnsi="Minion"/>
                <w:b/>
                <w:noProof/>
                <w:lang w:val="en-GB" w:eastAsia="en-GB"/>
              </w:rPr>
              <w:drawing>
                <wp:inline distT="0" distB="0" distL="0" distR="0">
                  <wp:extent cx="1684898" cy="1123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6524" cy="1125034"/>
                          </a:xfrm>
                          <a:prstGeom prst="rect">
                            <a:avLst/>
                          </a:prstGeom>
                        </pic:spPr>
                      </pic:pic>
                    </a:graphicData>
                  </a:graphic>
                </wp:inline>
              </w:drawing>
            </w:r>
          </w:p>
          <w:p w:rsidR="00281A58" w:rsidRDefault="00281A58" w:rsidP="00F565B8">
            <w:pPr>
              <w:rPr>
                <w:rFonts w:ascii="Minion" w:hAnsi="Minion"/>
                <w:b/>
              </w:rPr>
            </w:pPr>
            <w:r>
              <w:rPr>
                <w:rFonts w:ascii="Minion" w:hAnsi="Minion"/>
                <w:b/>
              </w:rPr>
              <w:t>Jen Pulley</w:t>
            </w:r>
          </w:p>
          <w:p w:rsidR="00281A58" w:rsidRPr="00281A58" w:rsidRDefault="00281A58" w:rsidP="00F565B8">
            <w:pPr>
              <w:rPr>
                <w:rFonts w:ascii="Minion" w:hAnsi="Minion"/>
              </w:rPr>
            </w:pPr>
            <w:r w:rsidRPr="00281A58">
              <w:rPr>
                <w:rFonts w:ascii="Minion" w:hAnsi="Minion"/>
              </w:rPr>
              <w:t>Roche</w:t>
            </w:r>
          </w:p>
        </w:tc>
        <w:tc>
          <w:tcPr>
            <w:tcW w:w="7007" w:type="dxa"/>
          </w:tcPr>
          <w:p w:rsidR="00281A58" w:rsidRPr="00281A58" w:rsidRDefault="00281A58" w:rsidP="00281A58">
            <w:pPr>
              <w:rPr>
                <w:rFonts w:ascii="Times New Roman" w:eastAsia="Times New Roman" w:hAnsi="Times New Roman" w:cs="Times New Roman"/>
                <w:color w:val="222222"/>
                <w:sz w:val="18"/>
                <w:szCs w:val="24"/>
                <w:lang w:eastAsia="en-GB"/>
              </w:rPr>
            </w:pPr>
            <w:r w:rsidRPr="00281A58">
              <w:rPr>
                <w:rFonts w:ascii="Times New Roman" w:eastAsia="Times New Roman" w:hAnsi="Times New Roman" w:cs="Times New Roman"/>
                <w:color w:val="222222"/>
                <w:sz w:val="18"/>
                <w:szCs w:val="24"/>
                <w:lang w:eastAsia="en-GB"/>
              </w:rPr>
              <w:t>In Immunology we are currently designing a bio-equivalence study using a two stage sample size re-estimation adaptive design. This design will allow the sample size assumptions to be re-evaluated once approximately half the subjects have completed the study.</w:t>
            </w:r>
          </w:p>
          <w:p w:rsidR="00281A58" w:rsidRPr="00281A58" w:rsidRDefault="00281A58" w:rsidP="00281A58">
            <w:pPr>
              <w:rPr>
                <w:rFonts w:ascii="Times New Roman" w:eastAsia="Times New Roman" w:hAnsi="Times New Roman" w:cs="Times New Roman"/>
                <w:color w:val="222222"/>
                <w:sz w:val="18"/>
                <w:szCs w:val="24"/>
                <w:lang w:eastAsia="en-GB"/>
              </w:rPr>
            </w:pPr>
            <w:r w:rsidRPr="00281A58">
              <w:rPr>
                <w:rFonts w:ascii="Times New Roman" w:eastAsia="Times New Roman" w:hAnsi="Times New Roman" w:cs="Times New Roman"/>
                <w:color w:val="222222"/>
                <w:sz w:val="18"/>
                <w:szCs w:val="24"/>
                <w:lang w:eastAsia="en-GB"/>
              </w:rPr>
              <w:t>Our initial study design used overall power and fixed analysis with no adjustment for type I error. This design was rejected by the health authorities so the team revised the study design.</w:t>
            </w:r>
            <w:r>
              <w:rPr>
                <w:rFonts w:ascii="Times New Roman" w:eastAsia="Times New Roman" w:hAnsi="Times New Roman" w:cs="Times New Roman"/>
                <w:color w:val="222222"/>
                <w:sz w:val="18"/>
                <w:szCs w:val="24"/>
                <w:lang w:eastAsia="en-GB"/>
              </w:rPr>
              <w:t xml:space="preserve"> </w:t>
            </w:r>
            <w:r w:rsidRPr="00281A58">
              <w:rPr>
                <w:rFonts w:ascii="Times New Roman" w:eastAsia="Times New Roman" w:hAnsi="Times New Roman" w:cs="Times New Roman"/>
                <w:color w:val="222222"/>
                <w:sz w:val="18"/>
                <w:szCs w:val="24"/>
                <w:lang w:eastAsia="en-GB"/>
              </w:rPr>
              <w:t>Two revised study designs using conditional power with a promising zone was proposed to health authorities. Each of the two revised designs made the adjustment for the type I error within the 90% CI calculation using either the t-distribution method or adjusted normal method.</w:t>
            </w:r>
          </w:p>
          <w:p w:rsidR="00281A58" w:rsidRPr="00281A58" w:rsidRDefault="00281A58" w:rsidP="00F565B8">
            <w:pPr>
              <w:rPr>
                <w:rFonts w:ascii="Times New Roman" w:eastAsia="Times New Roman" w:hAnsi="Times New Roman" w:cs="Times New Roman"/>
                <w:color w:val="222222"/>
                <w:sz w:val="18"/>
                <w:szCs w:val="24"/>
                <w:lang w:eastAsia="en-GB"/>
              </w:rPr>
            </w:pPr>
            <w:r w:rsidRPr="00281A58">
              <w:rPr>
                <w:rFonts w:ascii="Times New Roman" w:eastAsia="Times New Roman" w:hAnsi="Times New Roman" w:cs="Times New Roman"/>
                <w:color w:val="222222"/>
                <w:sz w:val="18"/>
                <w:szCs w:val="24"/>
                <w:lang w:eastAsia="en-GB"/>
              </w:rPr>
              <w:t>This presentation will discuss the methods used for the revised SSR study designs and the ongoing interactions with health authorities.</w:t>
            </w:r>
          </w:p>
        </w:tc>
      </w:tr>
    </w:tbl>
    <w:p w:rsidR="00281A58" w:rsidRDefault="00281A58" w:rsidP="00F565B8">
      <w:pPr>
        <w:rPr>
          <w:rFonts w:ascii="Minion" w:hAnsi="Minion"/>
          <w:b/>
        </w:rPr>
      </w:pPr>
    </w:p>
    <w:p w:rsidR="00921E67" w:rsidRDefault="00921E67" w:rsidP="00F565B8">
      <w:pPr>
        <w:rPr>
          <w:rFonts w:ascii="Minion" w:hAnsi="Minion"/>
          <w:b/>
        </w:rPr>
      </w:pPr>
    </w:p>
    <w:p w:rsidR="00921E67" w:rsidRDefault="00921E67" w:rsidP="00F565B8">
      <w:pPr>
        <w:rPr>
          <w:rFonts w:ascii="Minion" w:hAnsi="Minion"/>
          <w:b/>
        </w:rPr>
      </w:pPr>
    </w:p>
    <w:p w:rsidR="00F86E9A" w:rsidRDefault="00F86E9A" w:rsidP="00F565B8">
      <w:pPr>
        <w:rPr>
          <w:rFonts w:ascii="Minion" w:hAnsi="Minion"/>
          <w:b/>
        </w:rPr>
      </w:pPr>
      <w:r w:rsidRPr="00F86E9A">
        <w:rPr>
          <w:rFonts w:ascii="Minion" w:hAnsi="Minion"/>
          <w:b/>
        </w:rPr>
        <w:t>RA-MAP Project - Towards an</w:t>
      </w:r>
      <w:r w:rsidR="00ED3931" w:rsidRPr="00F86E9A">
        <w:rPr>
          <w:rFonts w:ascii="Minion" w:hAnsi="Minion"/>
          <w:b/>
        </w:rPr>
        <w:t> improved</w:t>
      </w:r>
      <w:r w:rsidRPr="00F86E9A">
        <w:rPr>
          <w:rFonts w:ascii="Minion" w:hAnsi="Minion"/>
          <w:b/>
        </w:rPr>
        <w:t xml:space="preserve"> understanding of immune function and response in RA</w:t>
      </w:r>
    </w:p>
    <w:tbl>
      <w:tblPr>
        <w:tblStyle w:val="TableGrid"/>
        <w:tblW w:w="0" w:type="auto"/>
        <w:tblLook w:val="04A0" w:firstRow="1" w:lastRow="0" w:firstColumn="1" w:lastColumn="0" w:noHBand="0" w:noVBand="1"/>
      </w:tblPr>
      <w:tblGrid>
        <w:gridCol w:w="2205"/>
        <w:gridCol w:w="6811"/>
      </w:tblGrid>
      <w:tr w:rsidR="00F86E9A" w:rsidTr="00F86E9A">
        <w:tc>
          <w:tcPr>
            <w:tcW w:w="2235" w:type="dxa"/>
          </w:tcPr>
          <w:p w:rsidR="00F86E9A" w:rsidRDefault="00F86E9A" w:rsidP="00F565B8">
            <w:pPr>
              <w:rPr>
                <w:rFonts w:ascii="Minion" w:hAnsi="Minion"/>
                <w:b/>
              </w:rPr>
            </w:pPr>
            <w:r>
              <w:rPr>
                <w:rFonts w:ascii="Minion" w:hAnsi="Minion"/>
                <w:b/>
              </w:rPr>
              <w:t>Brian Tom</w:t>
            </w:r>
          </w:p>
          <w:p w:rsidR="00F86E9A" w:rsidRPr="00F86E9A" w:rsidRDefault="00F86E9A" w:rsidP="00F565B8">
            <w:pPr>
              <w:rPr>
                <w:rFonts w:ascii="Minion" w:hAnsi="Minion"/>
              </w:rPr>
            </w:pPr>
            <w:r w:rsidRPr="00F86E9A">
              <w:rPr>
                <w:rFonts w:ascii="Minion" w:hAnsi="Minion"/>
              </w:rPr>
              <w:t>MRC Biostatistics Unit</w:t>
            </w:r>
          </w:p>
        </w:tc>
        <w:tc>
          <w:tcPr>
            <w:tcW w:w="7007" w:type="dxa"/>
          </w:tcPr>
          <w:p w:rsidR="00F86E9A" w:rsidRPr="00F86E9A" w:rsidRDefault="00F86E9A" w:rsidP="00F86E9A">
            <w:pPr>
              <w:rPr>
                <w:rFonts w:ascii="Times New Roman" w:eastAsia="Times New Roman" w:hAnsi="Times New Roman" w:cs="Times New Roman"/>
                <w:color w:val="222222"/>
                <w:sz w:val="18"/>
                <w:szCs w:val="24"/>
                <w:lang w:eastAsia="en-GB"/>
              </w:rPr>
            </w:pPr>
            <w:r w:rsidRPr="00F86E9A">
              <w:rPr>
                <w:rFonts w:ascii="Times New Roman" w:eastAsia="Times New Roman" w:hAnsi="Times New Roman" w:cs="Times New Roman"/>
                <w:color w:val="222222"/>
                <w:sz w:val="18"/>
                <w:szCs w:val="24"/>
                <w:lang w:eastAsia="en-GB"/>
              </w:rPr>
              <w:t>There is compelling evidence to implicate dysregulated immune function in the pathogenesis (origin</w:t>
            </w:r>
            <w:r>
              <w:rPr>
                <w:rFonts w:ascii="Times New Roman" w:eastAsia="Times New Roman" w:hAnsi="Times New Roman" w:cs="Times New Roman"/>
                <w:color w:val="222222"/>
                <w:sz w:val="18"/>
                <w:szCs w:val="24"/>
                <w:lang w:eastAsia="en-GB"/>
              </w:rPr>
              <w:t xml:space="preserve"> </w:t>
            </w:r>
            <w:r w:rsidRPr="00F86E9A">
              <w:rPr>
                <w:rFonts w:ascii="Times New Roman" w:eastAsia="Times New Roman" w:hAnsi="Times New Roman" w:cs="Times New Roman"/>
                <w:color w:val="222222"/>
                <w:sz w:val="18"/>
                <w:szCs w:val="24"/>
                <w:lang w:eastAsia="en-GB"/>
              </w:rPr>
              <w:t>and progression) of rheumatoid arthritis (RA). The RA-MAP Project is an MRC/ABPI Inflammation and Immunology Initiative that aims to improve understanding of the human immune system in rheumatoid arthritis, using ex vivo and functional read outs, through the application of established and new technologies and through different complementary studies. We conjecture that discrete, dynamic immunological profiles are present in leucocyte subsets, plasma or serum derived from human blood that are informative of current and future disease states in RA (or health) and thereby relevant immune function.</w:t>
            </w:r>
          </w:p>
          <w:p w:rsidR="00F86E9A" w:rsidRPr="00F86E9A" w:rsidRDefault="00F86E9A" w:rsidP="00F86E9A">
            <w:pPr>
              <w:rPr>
                <w:rFonts w:ascii="Times New Roman" w:eastAsia="Times New Roman" w:hAnsi="Times New Roman" w:cs="Times New Roman"/>
                <w:color w:val="222222"/>
                <w:sz w:val="18"/>
                <w:szCs w:val="24"/>
                <w:lang w:eastAsia="en-GB"/>
              </w:rPr>
            </w:pPr>
          </w:p>
          <w:p w:rsidR="00F86E9A" w:rsidRDefault="00F86E9A" w:rsidP="00F86E9A">
            <w:pPr>
              <w:rPr>
                <w:rFonts w:ascii="Minion" w:hAnsi="Minion"/>
                <w:b/>
              </w:rPr>
            </w:pPr>
            <w:r w:rsidRPr="00F86E9A">
              <w:rPr>
                <w:rFonts w:ascii="Times New Roman" w:eastAsia="Times New Roman" w:hAnsi="Times New Roman" w:cs="Times New Roman"/>
                <w:color w:val="222222"/>
                <w:sz w:val="18"/>
                <w:szCs w:val="24"/>
                <w:lang w:eastAsia="en-GB"/>
              </w:rPr>
              <w:t>In this talk, I will describe the plan of investigation adopted, the data collected and the statistical methodology that may be used to investigate immune dys</w:t>
            </w:r>
            <w:r>
              <w:rPr>
                <w:rFonts w:ascii="Times New Roman" w:eastAsia="Times New Roman" w:hAnsi="Times New Roman" w:cs="Times New Roman"/>
                <w:color w:val="222222"/>
                <w:sz w:val="18"/>
                <w:szCs w:val="24"/>
                <w:lang w:eastAsia="en-GB"/>
              </w:rPr>
              <w:t xml:space="preserve">regulation in RA by the RA-MAP </w:t>
            </w:r>
            <w:r w:rsidRPr="00F86E9A">
              <w:rPr>
                <w:rFonts w:ascii="Times New Roman" w:eastAsia="Times New Roman" w:hAnsi="Times New Roman" w:cs="Times New Roman"/>
                <w:color w:val="222222"/>
                <w:sz w:val="18"/>
                <w:szCs w:val="24"/>
                <w:lang w:eastAsia="en-GB"/>
              </w:rPr>
              <w:t>consortium.</w:t>
            </w:r>
          </w:p>
        </w:tc>
      </w:tr>
    </w:tbl>
    <w:p w:rsidR="00F86E9A" w:rsidRPr="00D77D5B" w:rsidRDefault="00F86E9A" w:rsidP="00F565B8">
      <w:pPr>
        <w:rPr>
          <w:rFonts w:ascii="Minion" w:hAnsi="Minion"/>
          <w:b/>
        </w:rPr>
      </w:pPr>
    </w:p>
    <w:sectPr w:rsidR="00F86E9A" w:rsidRPr="00D77D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inion">
    <w:altName w:val="Cambria Math"/>
    <w:charset w:val="00"/>
    <w:family w:val="roman"/>
    <w:pitch w:val="variable"/>
    <w:sig w:usb0="00000001"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E56196"/>
    <w:multiLevelType w:val="multilevel"/>
    <w:tmpl w:val="1A941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9ED"/>
    <w:rsid w:val="00003E81"/>
    <w:rsid w:val="000049A1"/>
    <w:rsid w:val="0001007F"/>
    <w:rsid w:val="000138C7"/>
    <w:rsid w:val="00017189"/>
    <w:rsid w:val="00022452"/>
    <w:rsid w:val="00023638"/>
    <w:rsid w:val="00024532"/>
    <w:rsid w:val="00030C21"/>
    <w:rsid w:val="000330D1"/>
    <w:rsid w:val="00035222"/>
    <w:rsid w:val="0003748C"/>
    <w:rsid w:val="000377AD"/>
    <w:rsid w:val="00044915"/>
    <w:rsid w:val="00044CA8"/>
    <w:rsid w:val="00052D2E"/>
    <w:rsid w:val="00053D21"/>
    <w:rsid w:val="00055F95"/>
    <w:rsid w:val="0006155A"/>
    <w:rsid w:val="000634CE"/>
    <w:rsid w:val="000644A0"/>
    <w:rsid w:val="00064A25"/>
    <w:rsid w:val="000655EF"/>
    <w:rsid w:val="00065B00"/>
    <w:rsid w:val="00066DFE"/>
    <w:rsid w:val="0007763C"/>
    <w:rsid w:val="0007765D"/>
    <w:rsid w:val="000909BE"/>
    <w:rsid w:val="00094FBB"/>
    <w:rsid w:val="00095990"/>
    <w:rsid w:val="00095BE9"/>
    <w:rsid w:val="00096550"/>
    <w:rsid w:val="000A22F3"/>
    <w:rsid w:val="000A4A32"/>
    <w:rsid w:val="000A55AC"/>
    <w:rsid w:val="000B1ED3"/>
    <w:rsid w:val="000B4E13"/>
    <w:rsid w:val="000B731F"/>
    <w:rsid w:val="000C0D5C"/>
    <w:rsid w:val="000C2759"/>
    <w:rsid w:val="000C4EEA"/>
    <w:rsid w:val="000C6A12"/>
    <w:rsid w:val="000D12B6"/>
    <w:rsid w:val="000D2C25"/>
    <w:rsid w:val="000D6AD4"/>
    <w:rsid w:val="000D775B"/>
    <w:rsid w:val="000E173E"/>
    <w:rsid w:val="000E62A6"/>
    <w:rsid w:val="000E75F2"/>
    <w:rsid w:val="000F068E"/>
    <w:rsid w:val="000F36FD"/>
    <w:rsid w:val="000F5992"/>
    <w:rsid w:val="00101B95"/>
    <w:rsid w:val="00102B88"/>
    <w:rsid w:val="00103F45"/>
    <w:rsid w:val="00105346"/>
    <w:rsid w:val="00110580"/>
    <w:rsid w:val="00113516"/>
    <w:rsid w:val="00115A9C"/>
    <w:rsid w:val="001171C2"/>
    <w:rsid w:val="00121A46"/>
    <w:rsid w:val="00123CC7"/>
    <w:rsid w:val="0013101B"/>
    <w:rsid w:val="00136591"/>
    <w:rsid w:val="00137E9A"/>
    <w:rsid w:val="00140DC2"/>
    <w:rsid w:val="00141ECC"/>
    <w:rsid w:val="001450EE"/>
    <w:rsid w:val="0015660B"/>
    <w:rsid w:val="00157915"/>
    <w:rsid w:val="00160508"/>
    <w:rsid w:val="00160908"/>
    <w:rsid w:val="00160957"/>
    <w:rsid w:val="00162B8C"/>
    <w:rsid w:val="00163655"/>
    <w:rsid w:val="0016431F"/>
    <w:rsid w:val="001646E2"/>
    <w:rsid w:val="001664FC"/>
    <w:rsid w:val="0017027E"/>
    <w:rsid w:val="00171F2E"/>
    <w:rsid w:val="00173991"/>
    <w:rsid w:val="001758A2"/>
    <w:rsid w:val="001768A8"/>
    <w:rsid w:val="001778D2"/>
    <w:rsid w:val="0018132C"/>
    <w:rsid w:val="00182EBE"/>
    <w:rsid w:val="00183476"/>
    <w:rsid w:val="00183D2C"/>
    <w:rsid w:val="00184D1C"/>
    <w:rsid w:val="001856DB"/>
    <w:rsid w:val="00190EF9"/>
    <w:rsid w:val="00194818"/>
    <w:rsid w:val="001964E8"/>
    <w:rsid w:val="00196B4F"/>
    <w:rsid w:val="00197A7D"/>
    <w:rsid w:val="001A0623"/>
    <w:rsid w:val="001A1DA2"/>
    <w:rsid w:val="001A2C2A"/>
    <w:rsid w:val="001A35C3"/>
    <w:rsid w:val="001A3B0D"/>
    <w:rsid w:val="001A4B84"/>
    <w:rsid w:val="001A6E93"/>
    <w:rsid w:val="001B24F1"/>
    <w:rsid w:val="001B525A"/>
    <w:rsid w:val="001C10C2"/>
    <w:rsid w:val="001C1D10"/>
    <w:rsid w:val="001C3003"/>
    <w:rsid w:val="001C4DCF"/>
    <w:rsid w:val="001C51CC"/>
    <w:rsid w:val="001D5A62"/>
    <w:rsid w:val="001D627A"/>
    <w:rsid w:val="001D6ED1"/>
    <w:rsid w:val="001E1C18"/>
    <w:rsid w:val="001E4450"/>
    <w:rsid w:val="001E49A8"/>
    <w:rsid w:val="001F0E46"/>
    <w:rsid w:val="001F17F6"/>
    <w:rsid w:val="001F4F7B"/>
    <w:rsid w:val="001F734B"/>
    <w:rsid w:val="00205088"/>
    <w:rsid w:val="00216778"/>
    <w:rsid w:val="00216A8F"/>
    <w:rsid w:val="002229DC"/>
    <w:rsid w:val="00224259"/>
    <w:rsid w:val="00224409"/>
    <w:rsid w:val="00224DC2"/>
    <w:rsid w:val="00225DDD"/>
    <w:rsid w:val="00226495"/>
    <w:rsid w:val="0023062E"/>
    <w:rsid w:val="00230DFF"/>
    <w:rsid w:val="002335C5"/>
    <w:rsid w:val="00233BDE"/>
    <w:rsid w:val="00234CB6"/>
    <w:rsid w:val="00235433"/>
    <w:rsid w:val="0023695D"/>
    <w:rsid w:val="00237CCC"/>
    <w:rsid w:val="002418D0"/>
    <w:rsid w:val="00242FDB"/>
    <w:rsid w:val="0024384B"/>
    <w:rsid w:val="00257B1E"/>
    <w:rsid w:val="00261177"/>
    <w:rsid w:val="00261577"/>
    <w:rsid w:val="00263450"/>
    <w:rsid w:val="00265381"/>
    <w:rsid w:val="00265832"/>
    <w:rsid w:val="00266A2C"/>
    <w:rsid w:val="00270FA8"/>
    <w:rsid w:val="00271200"/>
    <w:rsid w:val="002716B8"/>
    <w:rsid w:val="0027400C"/>
    <w:rsid w:val="00277A03"/>
    <w:rsid w:val="00281A58"/>
    <w:rsid w:val="00283270"/>
    <w:rsid w:val="00287BDA"/>
    <w:rsid w:val="00290967"/>
    <w:rsid w:val="002939C1"/>
    <w:rsid w:val="0029760E"/>
    <w:rsid w:val="002A04AA"/>
    <w:rsid w:val="002A1E33"/>
    <w:rsid w:val="002A5107"/>
    <w:rsid w:val="002A5F16"/>
    <w:rsid w:val="002A78A8"/>
    <w:rsid w:val="002B0090"/>
    <w:rsid w:val="002B2362"/>
    <w:rsid w:val="002B2B33"/>
    <w:rsid w:val="002B31F4"/>
    <w:rsid w:val="002B6726"/>
    <w:rsid w:val="002B67D5"/>
    <w:rsid w:val="002C3A14"/>
    <w:rsid w:val="002C589D"/>
    <w:rsid w:val="002C5B17"/>
    <w:rsid w:val="002C68D4"/>
    <w:rsid w:val="002C6CED"/>
    <w:rsid w:val="002C7394"/>
    <w:rsid w:val="002C782C"/>
    <w:rsid w:val="002C7DB6"/>
    <w:rsid w:val="002D0B71"/>
    <w:rsid w:val="002D0F6C"/>
    <w:rsid w:val="002D1862"/>
    <w:rsid w:val="002D68B1"/>
    <w:rsid w:val="002E35C2"/>
    <w:rsid w:val="002E4D10"/>
    <w:rsid w:val="002F0DC6"/>
    <w:rsid w:val="002F0F19"/>
    <w:rsid w:val="002F24EA"/>
    <w:rsid w:val="002F4C4E"/>
    <w:rsid w:val="002F4C6B"/>
    <w:rsid w:val="00301FF1"/>
    <w:rsid w:val="003057D2"/>
    <w:rsid w:val="0031136C"/>
    <w:rsid w:val="00313FD9"/>
    <w:rsid w:val="00314E38"/>
    <w:rsid w:val="003160E4"/>
    <w:rsid w:val="00316377"/>
    <w:rsid w:val="0032234D"/>
    <w:rsid w:val="003249ED"/>
    <w:rsid w:val="00325569"/>
    <w:rsid w:val="00326DD8"/>
    <w:rsid w:val="00327823"/>
    <w:rsid w:val="00335A4E"/>
    <w:rsid w:val="00340F03"/>
    <w:rsid w:val="00344E55"/>
    <w:rsid w:val="00347C6E"/>
    <w:rsid w:val="00351054"/>
    <w:rsid w:val="00352179"/>
    <w:rsid w:val="00355048"/>
    <w:rsid w:val="003552BE"/>
    <w:rsid w:val="00357147"/>
    <w:rsid w:val="00360B9D"/>
    <w:rsid w:val="003625DA"/>
    <w:rsid w:val="00363BF0"/>
    <w:rsid w:val="003645C2"/>
    <w:rsid w:val="00365387"/>
    <w:rsid w:val="00372F9C"/>
    <w:rsid w:val="003733BB"/>
    <w:rsid w:val="003735BF"/>
    <w:rsid w:val="003801A6"/>
    <w:rsid w:val="00385C4D"/>
    <w:rsid w:val="003866DC"/>
    <w:rsid w:val="00393F6F"/>
    <w:rsid w:val="003A1C6C"/>
    <w:rsid w:val="003A2BA3"/>
    <w:rsid w:val="003A47D4"/>
    <w:rsid w:val="003A5767"/>
    <w:rsid w:val="003A5B62"/>
    <w:rsid w:val="003B5590"/>
    <w:rsid w:val="003C0891"/>
    <w:rsid w:val="003C1A1F"/>
    <w:rsid w:val="003D0437"/>
    <w:rsid w:val="003D19AD"/>
    <w:rsid w:val="003D4A9D"/>
    <w:rsid w:val="003E2C86"/>
    <w:rsid w:val="003E2DF2"/>
    <w:rsid w:val="003E35E4"/>
    <w:rsid w:val="003E57A6"/>
    <w:rsid w:val="003E5CAB"/>
    <w:rsid w:val="003F02A8"/>
    <w:rsid w:val="003F2CD4"/>
    <w:rsid w:val="00401439"/>
    <w:rsid w:val="004047AF"/>
    <w:rsid w:val="00405BA3"/>
    <w:rsid w:val="00406DFF"/>
    <w:rsid w:val="0041160C"/>
    <w:rsid w:val="0041311E"/>
    <w:rsid w:val="004163F7"/>
    <w:rsid w:val="00416FE4"/>
    <w:rsid w:val="00417F03"/>
    <w:rsid w:val="00420A86"/>
    <w:rsid w:val="00425EBD"/>
    <w:rsid w:val="004271E8"/>
    <w:rsid w:val="00430053"/>
    <w:rsid w:val="004305C0"/>
    <w:rsid w:val="00433AF2"/>
    <w:rsid w:val="00436553"/>
    <w:rsid w:val="004369D3"/>
    <w:rsid w:val="00440EE8"/>
    <w:rsid w:val="00440EF7"/>
    <w:rsid w:val="00441546"/>
    <w:rsid w:val="004472C6"/>
    <w:rsid w:val="004541F1"/>
    <w:rsid w:val="004541F2"/>
    <w:rsid w:val="004546D0"/>
    <w:rsid w:val="00456260"/>
    <w:rsid w:val="0046109E"/>
    <w:rsid w:val="004623FA"/>
    <w:rsid w:val="004737BB"/>
    <w:rsid w:val="00476190"/>
    <w:rsid w:val="0048536F"/>
    <w:rsid w:val="0048635A"/>
    <w:rsid w:val="00490001"/>
    <w:rsid w:val="00490098"/>
    <w:rsid w:val="0049378B"/>
    <w:rsid w:val="00497011"/>
    <w:rsid w:val="0049719A"/>
    <w:rsid w:val="004A7204"/>
    <w:rsid w:val="004B2094"/>
    <w:rsid w:val="004B481D"/>
    <w:rsid w:val="004B4A5C"/>
    <w:rsid w:val="004B77EE"/>
    <w:rsid w:val="004C04F5"/>
    <w:rsid w:val="004C30F6"/>
    <w:rsid w:val="004C4140"/>
    <w:rsid w:val="004D0CCB"/>
    <w:rsid w:val="004D7555"/>
    <w:rsid w:val="004E5C54"/>
    <w:rsid w:val="004E6FD9"/>
    <w:rsid w:val="004E722B"/>
    <w:rsid w:val="004E7CC2"/>
    <w:rsid w:val="004F1794"/>
    <w:rsid w:val="004F2B17"/>
    <w:rsid w:val="004F3680"/>
    <w:rsid w:val="004F4504"/>
    <w:rsid w:val="004F4910"/>
    <w:rsid w:val="004F49E6"/>
    <w:rsid w:val="004F4C96"/>
    <w:rsid w:val="004F5955"/>
    <w:rsid w:val="004F6694"/>
    <w:rsid w:val="004F7115"/>
    <w:rsid w:val="00500985"/>
    <w:rsid w:val="00502667"/>
    <w:rsid w:val="0050357B"/>
    <w:rsid w:val="00505238"/>
    <w:rsid w:val="00506BEF"/>
    <w:rsid w:val="00507FBD"/>
    <w:rsid w:val="00510F0C"/>
    <w:rsid w:val="00513B5A"/>
    <w:rsid w:val="00514EB1"/>
    <w:rsid w:val="00515316"/>
    <w:rsid w:val="005176B5"/>
    <w:rsid w:val="0052070F"/>
    <w:rsid w:val="0052260C"/>
    <w:rsid w:val="00522D36"/>
    <w:rsid w:val="00524D0D"/>
    <w:rsid w:val="005250A7"/>
    <w:rsid w:val="00527CE4"/>
    <w:rsid w:val="0053397A"/>
    <w:rsid w:val="00537764"/>
    <w:rsid w:val="00541009"/>
    <w:rsid w:val="0054172A"/>
    <w:rsid w:val="00543A8A"/>
    <w:rsid w:val="00544E60"/>
    <w:rsid w:val="00544E67"/>
    <w:rsid w:val="00545494"/>
    <w:rsid w:val="00546B44"/>
    <w:rsid w:val="00547DB6"/>
    <w:rsid w:val="00550343"/>
    <w:rsid w:val="00550558"/>
    <w:rsid w:val="00551E08"/>
    <w:rsid w:val="005543AA"/>
    <w:rsid w:val="0055797C"/>
    <w:rsid w:val="005601FB"/>
    <w:rsid w:val="0056025D"/>
    <w:rsid w:val="00560901"/>
    <w:rsid w:val="005619CD"/>
    <w:rsid w:val="00563E50"/>
    <w:rsid w:val="00565C8F"/>
    <w:rsid w:val="00565F44"/>
    <w:rsid w:val="00566566"/>
    <w:rsid w:val="00571076"/>
    <w:rsid w:val="00572407"/>
    <w:rsid w:val="00572EB0"/>
    <w:rsid w:val="00572F8B"/>
    <w:rsid w:val="00574746"/>
    <w:rsid w:val="00575A75"/>
    <w:rsid w:val="00577B14"/>
    <w:rsid w:val="005832B7"/>
    <w:rsid w:val="00586C7D"/>
    <w:rsid w:val="00587B23"/>
    <w:rsid w:val="0059123B"/>
    <w:rsid w:val="005923C0"/>
    <w:rsid w:val="005938A2"/>
    <w:rsid w:val="00595A91"/>
    <w:rsid w:val="005969EA"/>
    <w:rsid w:val="005A03C2"/>
    <w:rsid w:val="005A1767"/>
    <w:rsid w:val="005A2E90"/>
    <w:rsid w:val="005A3A14"/>
    <w:rsid w:val="005A535B"/>
    <w:rsid w:val="005B008B"/>
    <w:rsid w:val="005B038D"/>
    <w:rsid w:val="005B1105"/>
    <w:rsid w:val="005C6822"/>
    <w:rsid w:val="005C6AD3"/>
    <w:rsid w:val="005D2F5E"/>
    <w:rsid w:val="005D7762"/>
    <w:rsid w:val="005E0D46"/>
    <w:rsid w:val="005E10F8"/>
    <w:rsid w:val="005E1E55"/>
    <w:rsid w:val="005E2014"/>
    <w:rsid w:val="005E27E1"/>
    <w:rsid w:val="005E2EF3"/>
    <w:rsid w:val="005E3706"/>
    <w:rsid w:val="005E7FB1"/>
    <w:rsid w:val="005F1175"/>
    <w:rsid w:val="005F4208"/>
    <w:rsid w:val="005F47C9"/>
    <w:rsid w:val="005F7DFF"/>
    <w:rsid w:val="00605569"/>
    <w:rsid w:val="00606222"/>
    <w:rsid w:val="0061085E"/>
    <w:rsid w:val="00611022"/>
    <w:rsid w:val="0061129D"/>
    <w:rsid w:val="006118AD"/>
    <w:rsid w:val="00612FC0"/>
    <w:rsid w:val="00614077"/>
    <w:rsid w:val="0061454A"/>
    <w:rsid w:val="00621A12"/>
    <w:rsid w:val="006222F2"/>
    <w:rsid w:val="00622333"/>
    <w:rsid w:val="00624BCC"/>
    <w:rsid w:val="0063048B"/>
    <w:rsid w:val="00634944"/>
    <w:rsid w:val="00635082"/>
    <w:rsid w:val="00636362"/>
    <w:rsid w:val="00636E83"/>
    <w:rsid w:val="0063746E"/>
    <w:rsid w:val="00643B00"/>
    <w:rsid w:val="00646DC1"/>
    <w:rsid w:val="00651710"/>
    <w:rsid w:val="0065295C"/>
    <w:rsid w:val="00652EB2"/>
    <w:rsid w:val="00656BBD"/>
    <w:rsid w:val="006618EE"/>
    <w:rsid w:val="00661A07"/>
    <w:rsid w:val="00661E04"/>
    <w:rsid w:val="006660C5"/>
    <w:rsid w:val="00667E7A"/>
    <w:rsid w:val="006739B2"/>
    <w:rsid w:val="00677147"/>
    <w:rsid w:val="00677657"/>
    <w:rsid w:val="00681D3A"/>
    <w:rsid w:val="00681FE3"/>
    <w:rsid w:val="00683082"/>
    <w:rsid w:val="00684021"/>
    <w:rsid w:val="00686318"/>
    <w:rsid w:val="00686D03"/>
    <w:rsid w:val="006A0274"/>
    <w:rsid w:val="006A1713"/>
    <w:rsid w:val="006A2CEC"/>
    <w:rsid w:val="006A2E8A"/>
    <w:rsid w:val="006B0207"/>
    <w:rsid w:val="006C1F8F"/>
    <w:rsid w:val="006C22FD"/>
    <w:rsid w:val="006C239A"/>
    <w:rsid w:val="006C5519"/>
    <w:rsid w:val="006D0DAC"/>
    <w:rsid w:val="006D4503"/>
    <w:rsid w:val="006D5964"/>
    <w:rsid w:val="006D6E2E"/>
    <w:rsid w:val="006E0243"/>
    <w:rsid w:val="006E0287"/>
    <w:rsid w:val="006E7AF3"/>
    <w:rsid w:val="006F0D2A"/>
    <w:rsid w:val="006F32CA"/>
    <w:rsid w:val="006F4E11"/>
    <w:rsid w:val="006F5CE7"/>
    <w:rsid w:val="006F73BE"/>
    <w:rsid w:val="00700BED"/>
    <w:rsid w:val="00701D4C"/>
    <w:rsid w:val="007020D9"/>
    <w:rsid w:val="00704245"/>
    <w:rsid w:val="007042EB"/>
    <w:rsid w:val="00707A93"/>
    <w:rsid w:val="00713768"/>
    <w:rsid w:val="00714712"/>
    <w:rsid w:val="007158DC"/>
    <w:rsid w:val="007166DF"/>
    <w:rsid w:val="00717500"/>
    <w:rsid w:val="00723330"/>
    <w:rsid w:val="007258E0"/>
    <w:rsid w:val="0073011A"/>
    <w:rsid w:val="007308BE"/>
    <w:rsid w:val="0073114B"/>
    <w:rsid w:val="007340ED"/>
    <w:rsid w:val="00735431"/>
    <w:rsid w:val="00736F9B"/>
    <w:rsid w:val="00741DFB"/>
    <w:rsid w:val="00742614"/>
    <w:rsid w:val="00743F0E"/>
    <w:rsid w:val="007452D0"/>
    <w:rsid w:val="007476CA"/>
    <w:rsid w:val="00751E35"/>
    <w:rsid w:val="00753027"/>
    <w:rsid w:val="0075306C"/>
    <w:rsid w:val="00754123"/>
    <w:rsid w:val="00756713"/>
    <w:rsid w:val="0075671D"/>
    <w:rsid w:val="00757020"/>
    <w:rsid w:val="00760A34"/>
    <w:rsid w:val="00761DA5"/>
    <w:rsid w:val="00763A0F"/>
    <w:rsid w:val="00763FCB"/>
    <w:rsid w:val="00767A7C"/>
    <w:rsid w:val="00770C7E"/>
    <w:rsid w:val="00772359"/>
    <w:rsid w:val="007728F8"/>
    <w:rsid w:val="00772D54"/>
    <w:rsid w:val="00774BFD"/>
    <w:rsid w:val="007807AC"/>
    <w:rsid w:val="00783D65"/>
    <w:rsid w:val="0078761E"/>
    <w:rsid w:val="00787AE6"/>
    <w:rsid w:val="0079186E"/>
    <w:rsid w:val="00792B07"/>
    <w:rsid w:val="00792CB4"/>
    <w:rsid w:val="00793716"/>
    <w:rsid w:val="00796FC2"/>
    <w:rsid w:val="00797C64"/>
    <w:rsid w:val="007A1E0A"/>
    <w:rsid w:val="007A4452"/>
    <w:rsid w:val="007A733E"/>
    <w:rsid w:val="007A7DEA"/>
    <w:rsid w:val="007B021D"/>
    <w:rsid w:val="007B633C"/>
    <w:rsid w:val="007B6EA5"/>
    <w:rsid w:val="007C5083"/>
    <w:rsid w:val="007C7D7E"/>
    <w:rsid w:val="007D0678"/>
    <w:rsid w:val="007D26E4"/>
    <w:rsid w:val="007D35B6"/>
    <w:rsid w:val="007D6F8F"/>
    <w:rsid w:val="007E0E07"/>
    <w:rsid w:val="007E62F8"/>
    <w:rsid w:val="007F07D8"/>
    <w:rsid w:val="007F09DB"/>
    <w:rsid w:val="007F193D"/>
    <w:rsid w:val="007F214D"/>
    <w:rsid w:val="007F3827"/>
    <w:rsid w:val="007F66ED"/>
    <w:rsid w:val="00800622"/>
    <w:rsid w:val="0080172A"/>
    <w:rsid w:val="008069F8"/>
    <w:rsid w:val="00806D0C"/>
    <w:rsid w:val="0081693A"/>
    <w:rsid w:val="00820EE3"/>
    <w:rsid w:val="00822CCC"/>
    <w:rsid w:val="00823B65"/>
    <w:rsid w:val="00825615"/>
    <w:rsid w:val="0083181E"/>
    <w:rsid w:val="00831C14"/>
    <w:rsid w:val="0083369B"/>
    <w:rsid w:val="00833737"/>
    <w:rsid w:val="008347DD"/>
    <w:rsid w:val="00837A5C"/>
    <w:rsid w:val="00844CED"/>
    <w:rsid w:val="00844D86"/>
    <w:rsid w:val="00850500"/>
    <w:rsid w:val="00850DB4"/>
    <w:rsid w:val="00851F99"/>
    <w:rsid w:val="008563D9"/>
    <w:rsid w:val="00856BA9"/>
    <w:rsid w:val="00861996"/>
    <w:rsid w:val="008633EE"/>
    <w:rsid w:val="00863BE7"/>
    <w:rsid w:val="00864A8A"/>
    <w:rsid w:val="0086620D"/>
    <w:rsid w:val="008679BD"/>
    <w:rsid w:val="00871886"/>
    <w:rsid w:val="008822E5"/>
    <w:rsid w:val="008826C7"/>
    <w:rsid w:val="00882E42"/>
    <w:rsid w:val="00884078"/>
    <w:rsid w:val="00885B9A"/>
    <w:rsid w:val="0089028D"/>
    <w:rsid w:val="00896E15"/>
    <w:rsid w:val="008A05C0"/>
    <w:rsid w:val="008A3618"/>
    <w:rsid w:val="008A49CB"/>
    <w:rsid w:val="008A546A"/>
    <w:rsid w:val="008B0ACF"/>
    <w:rsid w:val="008B1141"/>
    <w:rsid w:val="008B1284"/>
    <w:rsid w:val="008B1992"/>
    <w:rsid w:val="008B3840"/>
    <w:rsid w:val="008B487A"/>
    <w:rsid w:val="008B70EE"/>
    <w:rsid w:val="008B78B3"/>
    <w:rsid w:val="008C2425"/>
    <w:rsid w:val="008C2485"/>
    <w:rsid w:val="008C3BB8"/>
    <w:rsid w:val="008C582F"/>
    <w:rsid w:val="008D0323"/>
    <w:rsid w:val="008D371C"/>
    <w:rsid w:val="008D44E7"/>
    <w:rsid w:val="008D65AA"/>
    <w:rsid w:val="008D6D64"/>
    <w:rsid w:val="008D6F6A"/>
    <w:rsid w:val="008D706E"/>
    <w:rsid w:val="008E018B"/>
    <w:rsid w:val="008E1EC5"/>
    <w:rsid w:val="008E212B"/>
    <w:rsid w:val="008E5010"/>
    <w:rsid w:val="008E73D2"/>
    <w:rsid w:val="008F18CE"/>
    <w:rsid w:val="008F484F"/>
    <w:rsid w:val="008F7C9E"/>
    <w:rsid w:val="00900BCE"/>
    <w:rsid w:val="009012EC"/>
    <w:rsid w:val="009044DD"/>
    <w:rsid w:val="00906928"/>
    <w:rsid w:val="00910587"/>
    <w:rsid w:val="0091118B"/>
    <w:rsid w:val="00911AFE"/>
    <w:rsid w:val="00912548"/>
    <w:rsid w:val="00912A68"/>
    <w:rsid w:val="00912FFE"/>
    <w:rsid w:val="009156FF"/>
    <w:rsid w:val="00916D02"/>
    <w:rsid w:val="00917BFD"/>
    <w:rsid w:val="00920464"/>
    <w:rsid w:val="00921E67"/>
    <w:rsid w:val="00925FD4"/>
    <w:rsid w:val="00926B2B"/>
    <w:rsid w:val="00930742"/>
    <w:rsid w:val="009338C9"/>
    <w:rsid w:val="00933E54"/>
    <w:rsid w:val="00936342"/>
    <w:rsid w:val="00936736"/>
    <w:rsid w:val="00937D1A"/>
    <w:rsid w:val="009403E6"/>
    <w:rsid w:val="00947A79"/>
    <w:rsid w:val="00950D64"/>
    <w:rsid w:val="0095520B"/>
    <w:rsid w:val="00957D52"/>
    <w:rsid w:val="00960EE5"/>
    <w:rsid w:val="009700BF"/>
    <w:rsid w:val="0097285C"/>
    <w:rsid w:val="009729EB"/>
    <w:rsid w:val="00975AAC"/>
    <w:rsid w:val="009851CA"/>
    <w:rsid w:val="009869F1"/>
    <w:rsid w:val="00986EF9"/>
    <w:rsid w:val="00990AB4"/>
    <w:rsid w:val="009925D6"/>
    <w:rsid w:val="00992978"/>
    <w:rsid w:val="00993573"/>
    <w:rsid w:val="00994033"/>
    <w:rsid w:val="00996D90"/>
    <w:rsid w:val="009A0518"/>
    <w:rsid w:val="009A35D7"/>
    <w:rsid w:val="009A407A"/>
    <w:rsid w:val="009A4C2A"/>
    <w:rsid w:val="009B0350"/>
    <w:rsid w:val="009B0432"/>
    <w:rsid w:val="009B2F46"/>
    <w:rsid w:val="009B7AA5"/>
    <w:rsid w:val="009C1261"/>
    <w:rsid w:val="009C7EBA"/>
    <w:rsid w:val="009D0224"/>
    <w:rsid w:val="009D27B5"/>
    <w:rsid w:val="009D3C41"/>
    <w:rsid w:val="009D47B8"/>
    <w:rsid w:val="009E0EF1"/>
    <w:rsid w:val="009E3114"/>
    <w:rsid w:val="009F1570"/>
    <w:rsid w:val="009F2893"/>
    <w:rsid w:val="009F342C"/>
    <w:rsid w:val="009F7189"/>
    <w:rsid w:val="00A01DEA"/>
    <w:rsid w:val="00A077B7"/>
    <w:rsid w:val="00A103FB"/>
    <w:rsid w:val="00A1141F"/>
    <w:rsid w:val="00A1296F"/>
    <w:rsid w:val="00A14B4D"/>
    <w:rsid w:val="00A21719"/>
    <w:rsid w:val="00A21855"/>
    <w:rsid w:val="00A23951"/>
    <w:rsid w:val="00A25C2A"/>
    <w:rsid w:val="00A27B29"/>
    <w:rsid w:val="00A30075"/>
    <w:rsid w:val="00A30606"/>
    <w:rsid w:val="00A33710"/>
    <w:rsid w:val="00A370F3"/>
    <w:rsid w:val="00A502C2"/>
    <w:rsid w:val="00A518CD"/>
    <w:rsid w:val="00A526B4"/>
    <w:rsid w:val="00A539DE"/>
    <w:rsid w:val="00A56445"/>
    <w:rsid w:val="00A6050A"/>
    <w:rsid w:val="00A61BD5"/>
    <w:rsid w:val="00A6200F"/>
    <w:rsid w:val="00A62965"/>
    <w:rsid w:val="00A62A47"/>
    <w:rsid w:val="00A6449F"/>
    <w:rsid w:val="00A66D1E"/>
    <w:rsid w:val="00A708DC"/>
    <w:rsid w:val="00A70F1E"/>
    <w:rsid w:val="00A72EEB"/>
    <w:rsid w:val="00A73E80"/>
    <w:rsid w:val="00A762F5"/>
    <w:rsid w:val="00A76CDB"/>
    <w:rsid w:val="00A81BD8"/>
    <w:rsid w:val="00A8295D"/>
    <w:rsid w:val="00A8736B"/>
    <w:rsid w:val="00A90BCD"/>
    <w:rsid w:val="00A90D68"/>
    <w:rsid w:val="00A933B6"/>
    <w:rsid w:val="00A93E2A"/>
    <w:rsid w:val="00A962BD"/>
    <w:rsid w:val="00AA2ACC"/>
    <w:rsid w:val="00AA4F1C"/>
    <w:rsid w:val="00AB18F9"/>
    <w:rsid w:val="00AB2FB3"/>
    <w:rsid w:val="00AB55F8"/>
    <w:rsid w:val="00AB5936"/>
    <w:rsid w:val="00AB5D32"/>
    <w:rsid w:val="00AC0FBC"/>
    <w:rsid w:val="00AD2458"/>
    <w:rsid w:val="00AD2755"/>
    <w:rsid w:val="00AD2910"/>
    <w:rsid w:val="00AD6CF7"/>
    <w:rsid w:val="00AD71E6"/>
    <w:rsid w:val="00AE1598"/>
    <w:rsid w:val="00AE2E9D"/>
    <w:rsid w:val="00AE34C7"/>
    <w:rsid w:val="00AE48F7"/>
    <w:rsid w:val="00AF0C69"/>
    <w:rsid w:val="00AF5B89"/>
    <w:rsid w:val="00B0039E"/>
    <w:rsid w:val="00B00AED"/>
    <w:rsid w:val="00B00C96"/>
    <w:rsid w:val="00B01198"/>
    <w:rsid w:val="00B0521B"/>
    <w:rsid w:val="00B10229"/>
    <w:rsid w:val="00B1032C"/>
    <w:rsid w:val="00B115ED"/>
    <w:rsid w:val="00B11ECD"/>
    <w:rsid w:val="00B122CD"/>
    <w:rsid w:val="00B123B8"/>
    <w:rsid w:val="00B12A2C"/>
    <w:rsid w:val="00B136B4"/>
    <w:rsid w:val="00B14658"/>
    <w:rsid w:val="00B210D3"/>
    <w:rsid w:val="00B32EB6"/>
    <w:rsid w:val="00B33F99"/>
    <w:rsid w:val="00B34A83"/>
    <w:rsid w:val="00B368CB"/>
    <w:rsid w:val="00B3710A"/>
    <w:rsid w:val="00B4092F"/>
    <w:rsid w:val="00B43FE3"/>
    <w:rsid w:val="00B4531E"/>
    <w:rsid w:val="00B47D9C"/>
    <w:rsid w:val="00B622ED"/>
    <w:rsid w:val="00B67616"/>
    <w:rsid w:val="00B70BD4"/>
    <w:rsid w:val="00B73CE5"/>
    <w:rsid w:val="00B763AE"/>
    <w:rsid w:val="00B82017"/>
    <w:rsid w:val="00B84AC2"/>
    <w:rsid w:val="00B87551"/>
    <w:rsid w:val="00B925D5"/>
    <w:rsid w:val="00BA0A07"/>
    <w:rsid w:val="00BA4999"/>
    <w:rsid w:val="00BA6044"/>
    <w:rsid w:val="00BA6445"/>
    <w:rsid w:val="00BA6C11"/>
    <w:rsid w:val="00BA7A99"/>
    <w:rsid w:val="00BB20CB"/>
    <w:rsid w:val="00BB2AA4"/>
    <w:rsid w:val="00BB3A83"/>
    <w:rsid w:val="00BC1673"/>
    <w:rsid w:val="00BC207E"/>
    <w:rsid w:val="00BC5DEE"/>
    <w:rsid w:val="00BD2191"/>
    <w:rsid w:val="00BD48A2"/>
    <w:rsid w:val="00BD5D7C"/>
    <w:rsid w:val="00BD7A2E"/>
    <w:rsid w:val="00BE3786"/>
    <w:rsid w:val="00BE388D"/>
    <w:rsid w:val="00BE654A"/>
    <w:rsid w:val="00BF2B4C"/>
    <w:rsid w:val="00BF66CA"/>
    <w:rsid w:val="00BF760C"/>
    <w:rsid w:val="00BF7846"/>
    <w:rsid w:val="00C00B53"/>
    <w:rsid w:val="00C0222F"/>
    <w:rsid w:val="00C033A7"/>
    <w:rsid w:val="00C04ABD"/>
    <w:rsid w:val="00C108AB"/>
    <w:rsid w:val="00C11490"/>
    <w:rsid w:val="00C12118"/>
    <w:rsid w:val="00C14AE9"/>
    <w:rsid w:val="00C207C3"/>
    <w:rsid w:val="00C20949"/>
    <w:rsid w:val="00C23A97"/>
    <w:rsid w:val="00C2436D"/>
    <w:rsid w:val="00C25B09"/>
    <w:rsid w:val="00C26C09"/>
    <w:rsid w:val="00C26D6E"/>
    <w:rsid w:val="00C337DC"/>
    <w:rsid w:val="00C3381D"/>
    <w:rsid w:val="00C35D6C"/>
    <w:rsid w:val="00C37769"/>
    <w:rsid w:val="00C40F7B"/>
    <w:rsid w:val="00C43F61"/>
    <w:rsid w:val="00C51731"/>
    <w:rsid w:val="00C54426"/>
    <w:rsid w:val="00C61F35"/>
    <w:rsid w:val="00C714EF"/>
    <w:rsid w:val="00C77C47"/>
    <w:rsid w:val="00C8044A"/>
    <w:rsid w:val="00C87D68"/>
    <w:rsid w:val="00C91332"/>
    <w:rsid w:val="00C92287"/>
    <w:rsid w:val="00C92C97"/>
    <w:rsid w:val="00C975B1"/>
    <w:rsid w:val="00CA068C"/>
    <w:rsid w:val="00CA24DF"/>
    <w:rsid w:val="00CA3C5F"/>
    <w:rsid w:val="00CA614B"/>
    <w:rsid w:val="00CB4401"/>
    <w:rsid w:val="00CC130D"/>
    <w:rsid w:val="00CC400C"/>
    <w:rsid w:val="00CC6CB8"/>
    <w:rsid w:val="00CE2796"/>
    <w:rsid w:val="00CE2BA9"/>
    <w:rsid w:val="00CF097C"/>
    <w:rsid w:val="00CF0AA2"/>
    <w:rsid w:val="00CF2B13"/>
    <w:rsid w:val="00CF4AD1"/>
    <w:rsid w:val="00CF631D"/>
    <w:rsid w:val="00CF66BE"/>
    <w:rsid w:val="00D069A8"/>
    <w:rsid w:val="00D17961"/>
    <w:rsid w:val="00D20200"/>
    <w:rsid w:val="00D32C38"/>
    <w:rsid w:val="00D33A7C"/>
    <w:rsid w:val="00D4459F"/>
    <w:rsid w:val="00D46A0A"/>
    <w:rsid w:val="00D53F4B"/>
    <w:rsid w:val="00D56BD9"/>
    <w:rsid w:val="00D62AA6"/>
    <w:rsid w:val="00D641ED"/>
    <w:rsid w:val="00D6471E"/>
    <w:rsid w:val="00D66463"/>
    <w:rsid w:val="00D67ED1"/>
    <w:rsid w:val="00D703AB"/>
    <w:rsid w:val="00D7059D"/>
    <w:rsid w:val="00D74D1A"/>
    <w:rsid w:val="00D77D5B"/>
    <w:rsid w:val="00D816A9"/>
    <w:rsid w:val="00D85872"/>
    <w:rsid w:val="00D86659"/>
    <w:rsid w:val="00D87A62"/>
    <w:rsid w:val="00D91B9E"/>
    <w:rsid w:val="00D91CF2"/>
    <w:rsid w:val="00D95E19"/>
    <w:rsid w:val="00D97FC5"/>
    <w:rsid w:val="00DA33AE"/>
    <w:rsid w:val="00DA3B77"/>
    <w:rsid w:val="00DA4284"/>
    <w:rsid w:val="00DA5B60"/>
    <w:rsid w:val="00DB376A"/>
    <w:rsid w:val="00DB441B"/>
    <w:rsid w:val="00DB4664"/>
    <w:rsid w:val="00DB4BCE"/>
    <w:rsid w:val="00DB4FF2"/>
    <w:rsid w:val="00DB561D"/>
    <w:rsid w:val="00DB745E"/>
    <w:rsid w:val="00DC0386"/>
    <w:rsid w:val="00DC2F0E"/>
    <w:rsid w:val="00DC5E63"/>
    <w:rsid w:val="00DC7024"/>
    <w:rsid w:val="00DE23AB"/>
    <w:rsid w:val="00DE60D0"/>
    <w:rsid w:val="00DF042E"/>
    <w:rsid w:val="00DF3D4B"/>
    <w:rsid w:val="00DF40D6"/>
    <w:rsid w:val="00DF5461"/>
    <w:rsid w:val="00DF5C95"/>
    <w:rsid w:val="00DF7FFC"/>
    <w:rsid w:val="00E050F3"/>
    <w:rsid w:val="00E065A9"/>
    <w:rsid w:val="00E12353"/>
    <w:rsid w:val="00E2415F"/>
    <w:rsid w:val="00E246D5"/>
    <w:rsid w:val="00E302EC"/>
    <w:rsid w:val="00E31057"/>
    <w:rsid w:val="00E33B09"/>
    <w:rsid w:val="00E35E96"/>
    <w:rsid w:val="00E41114"/>
    <w:rsid w:val="00E5400C"/>
    <w:rsid w:val="00E55CB8"/>
    <w:rsid w:val="00E55FE7"/>
    <w:rsid w:val="00E5724E"/>
    <w:rsid w:val="00E62324"/>
    <w:rsid w:val="00E6431A"/>
    <w:rsid w:val="00E66EA0"/>
    <w:rsid w:val="00E707E2"/>
    <w:rsid w:val="00E72D11"/>
    <w:rsid w:val="00E73176"/>
    <w:rsid w:val="00E75B49"/>
    <w:rsid w:val="00E760F5"/>
    <w:rsid w:val="00E77709"/>
    <w:rsid w:val="00E81A28"/>
    <w:rsid w:val="00E82696"/>
    <w:rsid w:val="00E83638"/>
    <w:rsid w:val="00E847E9"/>
    <w:rsid w:val="00E9040B"/>
    <w:rsid w:val="00E90705"/>
    <w:rsid w:val="00E90D6D"/>
    <w:rsid w:val="00E927E9"/>
    <w:rsid w:val="00E94DD0"/>
    <w:rsid w:val="00EA0899"/>
    <w:rsid w:val="00EA0CE6"/>
    <w:rsid w:val="00EA1224"/>
    <w:rsid w:val="00EA4B76"/>
    <w:rsid w:val="00EA5DBE"/>
    <w:rsid w:val="00EB06BD"/>
    <w:rsid w:val="00EB0BC9"/>
    <w:rsid w:val="00EB23A3"/>
    <w:rsid w:val="00EC2004"/>
    <w:rsid w:val="00EC2B57"/>
    <w:rsid w:val="00EC4878"/>
    <w:rsid w:val="00ED1DF4"/>
    <w:rsid w:val="00ED3931"/>
    <w:rsid w:val="00ED48D1"/>
    <w:rsid w:val="00ED68F8"/>
    <w:rsid w:val="00EE0955"/>
    <w:rsid w:val="00EE1554"/>
    <w:rsid w:val="00EE1B13"/>
    <w:rsid w:val="00EE2063"/>
    <w:rsid w:val="00EE39B2"/>
    <w:rsid w:val="00EE5990"/>
    <w:rsid w:val="00EE5E03"/>
    <w:rsid w:val="00EF0A0D"/>
    <w:rsid w:val="00EF0CF3"/>
    <w:rsid w:val="00EF1169"/>
    <w:rsid w:val="00EF1C5D"/>
    <w:rsid w:val="00EF4524"/>
    <w:rsid w:val="00F02DAD"/>
    <w:rsid w:val="00F03181"/>
    <w:rsid w:val="00F071DE"/>
    <w:rsid w:val="00F07A17"/>
    <w:rsid w:val="00F10212"/>
    <w:rsid w:val="00F15D12"/>
    <w:rsid w:val="00F1720F"/>
    <w:rsid w:val="00F229EF"/>
    <w:rsid w:val="00F25C05"/>
    <w:rsid w:val="00F26799"/>
    <w:rsid w:val="00F27C25"/>
    <w:rsid w:val="00F27F57"/>
    <w:rsid w:val="00F313D6"/>
    <w:rsid w:val="00F360CC"/>
    <w:rsid w:val="00F40052"/>
    <w:rsid w:val="00F43AE9"/>
    <w:rsid w:val="00F45046"/>
    <w:rsid w:val="00F455BD"/>
    <w:rsid w:val="00F47B66"/>
    <w:rsid w:val="00F5303B"/>
    <w:rsid w:val="00F565B8"/>
    <w:rsid w:val="00F56B2F"/>
    <w:rsid w:val="00F61A28"/>
    <w:rsid w:val="00F61D45"/>
    <w:rsid w:val="00F62C13"/>
    <w:rsid w:val="00F65855"/>
    <w:rsid w:val="00F662F3"/>
    <w:rsid w:val="00F67396"/>
    <w:rsid w:val="00F77C0E"/>
    <w:rsid w:val="00F81A88"/>
    <w:rsid w:val="00F81BD3"/>
    <w:rsid w:val="00F81E4D"/>
    <w:rsid w:val="00F82B09"/>
    <w:rsid w:val="00F83B69"/>
    <w:rsid w:val="00F83CEE"/>
    <w:rsid w:val="00F853D9"/>
    <w:rsid w:val="00F86E9A"/>
    <w:rsid w:val="00F92BC1"/>
    <w:rsid w:val="00F930BA"/>
    <w:rsid w:val="00F954D1"/>
    <w:rsid w:val="00FA0B9F"/>
    <w:rsid w:val="00FA134E"/>
    <w:rsid w:val="00FA20E4"/>
    <w:rsid w:val="00FB0782"/>
    <w:rsid w:val="00FC48DD"/>
    <w:rsid w:val="00FC69D7"/>
    <w:rsid w:val="00FC6FAB"/>
    <w:rsid w:val="00FD1559"/>
    <w:rsid w:val="00FD1718"/>
    <w:rsid w:val="00FD4439"/>
    <w:rsid w:val="00FD54D9"/>
    <w:rsid w:val="00FD5CF3"/>
    <w:rsid w:val="00FE0EDD"/>
    <w:rsid w:val="00FE2B2E"/>
    <w:rsid w:val="00FE536B"/>
    <w:rsid w:val="00FE6882"/>
    <w:rsid w:val="00FF0938"/>
    <w:rsid w:val="00FF298A"/>
    <w:rsid w:val="00FF3A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FC2B3B-9733-432F-A881-EFCC322D4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4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3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CE5"/>
    <w:rPr>
      <w:rFonts w:ascii="Tahoma" w:hAnsi="Tahoma" w:cs="Tahoma"/>
      <w:sz w:val="16"/>
      <w:szCs w:val="16"/>
    </w:rPr>
  </w:style>
  <w:style w:type="character" w:customStyle="1" w:styleId="apple-converted-space">
    <w:name w:val="apple-converted-space"/>
    <w:basedOn w:val="DefaultParagraphFont"/>
    <w:rsid w:val="0046109E"/>
  </w:style>
  <w:style w:type="character" w:styleId="Hyperlink">
    <w:name w:val="Hyperlink"/>
    <w:basedOn w:val="DefaultParagraphFont"/>
    <w:uiPriority w:val="99"/>
    <w:unhideWhenUsed/>
    <w:rsid w:val="00DA33AE"/>
    <w:rPr>
      <w:color w:val="0000FF" w:themeColor="hyperlink"/>
      <w:u w:val="single"/>
    </w:rPr>
  </w:style>
  <w:style w:type="paragraph" w:styleId="HTMLPreformatted">
    <w:name w:val="HTML Preformatted"/>
    <w:basedOn w:val="Normal"/>
    <w:link w:val="HTMLPreformattedChar"/>
    <w:uiPriority w:val="99"/>
    <w:semiHidden/>
    <w:unhideWhenUsed/>
    <w:rsid w:val="001A1D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1A1DA2"/>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650788">
      <w:bodyDiv w:val="1"/>
      <w:marLeft w:val="0"/>
      <w:marRight w:val="0"/>
      <w:marTop w:val="0"/>
      <w:marBottom w:val="0"/>
      <w:divBdr>
        <w:top w:val="none" w:sz="0" w:space="0" w:color="auto"/>
        <w:left w:val="none" w:sz="0" w:space="0" w:color="auto"/>
        <w:bottom w:val="none" w:sz="0" w:space="0" w:color="auto"/>
        <w:right w:val="none" w:sz="0" w:space="0" w:color="auto"/>
      </w:divBdr>
    </w:div>
    <w:div w:id="445393138">
      <w:bodyDiv w:val="1"/>
      <w:marLeft w:val="0"/>
      <w:marRight w:val="0"/>
      <w:marTop w:val="0"/>
      <w:marBottom w:val="0"/>
      <w:divBdr>
        <w:top w:val="none" w:sz="0" w:space="0" w:color="auto"/>
        <w:left w:val="none" w:sz="0" w:space="0" w:color="auto"/>
        <w:bottom w:val="none" w:sz="0" w:space="0" w:color="auto"/>
        <w:right w:val="none" w:sz="0" w:space="0" w:color="auto"/>
      </w:divBdr>
    </w:div>
    <w:div w:id="448280110">
      <w:bodyDiv w:val="1"/>
      <w:marLeft w:val="0"/>
      <w:marRight w:val="0"/>
      <w:marTop w:val="0"/>
      <w:marBottom w:val="0"/>
      <w:divBdr>
        <w:top w:val="none" w:sz="0" w:space="0" w:color="auto"/>
        <w:left w:val="none" w:sz="0" w:space="0" w:color="auto"/>
        <w:bottom w:val="none" w:sz="0" w:space="0" w:color="auto"/>
        <w:right w:val="none" w:sz="0" w:space="0" w:color="auto"/>
      </w:divBdr>
      <w:divsChild>
        <w:div w:id="1797026438">
          <w:marLeft w:val="0"/>
          <w:marRight w:val="0"/>
          <w:marTop w:val="0"/>
          <w:marBottom w:val="0"/>
          <w:divBdr>
            <w:top w:val="none" w:sz="0" w:space="0" w:color="auto"/>
            <w:left w:val="none" w:sz="0" w:space="0" w:color="auto"/>
            <w:bottom w:val="none" w:sz="0" w:space="0" w:color="auto"/>
            <w:right w:val="none" w:sz="0" w:space="0" w:color="auto"/>
          </w:divBdr>
        </w:div>
      </w:divsChild>
    </w:div>
    <w:div w:id="548372098">
      <w:bodyDiv w:val="1"/>
      <w:marLeft w:val="0"/>
      <w:marRight w:val="0"/>
      <w:marTop w:val="0"/>
      <w:marBottom w:val="0"/>
      <w:divBdr>
        <w:top w:val="none" w:sz="0" w:space="0" w:color="auto"/>
        <w:left w:val="none" w:sz="0" w:space="0" w:color="auto"/>
        <w:bottom w:val="none" w:sz="0" w:space="0" w:color="auto"/>
        <w:right w:val="none" w:sz="0" w:space="0" w:color="auto"/>
      </w:divBdr>
    </w:div>
    <w:div w:id="580913760">
      <w:bodyDiv w:val="1"/>
      <w:marLeft w:val="0"/>
      <w:marRight w:val="0"/>
      <w:marTop w:val="0"/>
      <w:marBottom w:val="0"/>
      <w:divBdr>
        <w:top w:val="none" w:sz="0" w:space="0" w:color="auto"/>
        <w:left w:val="none" w:sz="0" w:space="0" w:color="auto"/>
        <w:bottom w:val="none" w:sz="0" w:space="0" w:color="auto"/>
        <w:right w:val="none" w:sz="0" w:space="0" w:color="auto"/>
      </w:divBdr>
    </w:div>
    <w:div w:id="815033129">
      <w:bodyDiv w:val="1"/>
      <w:marLeft w:val="0"/>
      <w:marRight w:val="0"/>
      <w:marTop w:val="0"/>
      <w:marBottom w:val="0"/>
      <w:divBdr>
        <w:top w:val="none" w:sz="0" w:space="0" w:color="auto"/>
        <w:left w:val="none" w:sz="0" w:space="0" w:color="auto"/>
        <w:bottom w:val="none" w:sz="0" w:space="0" w:color="auto"/>
        <w:right w:val="none" w:sz="0" w:space="0" w:color="auto"/>
      </w:divBdr>
    </w:div>
    <w:div w:id="1024282171">
      <w:bodyDiv w:val="1"/>
      <w:marLeft w:val="0"/>
      <w:marRight w:val="0"/>
      <w:marTop w:val="0"/>
      <w:marBottom w:val="0"/>
      <w:divBdr>
        <w:top w:val="none" w:sz="0" w:space="0" w:color="auto"/>
        <w:left w:val="none" w:sz="0" w:space="0" w:color="auto"/>
        <w:bottom w:val="none" w:sz="0" w:space="0" w:color="auto"/>
        <w:right w:val="none" w:sz="0" w:space="0" w:color="auto"/>
      </w:divBdr>
    </w:div>
    <w:div w:id="1323780876">
      <w:bodyDiv w:val="1"/>
      <w:marLeft w:val="0"/>
      <w:marRight w:val="0"/>
      <w:marTop w:val="0"/>
      <w:marBottom w:val="0"/>
      <w:divBdr>
        <w:top w:val="none" w:sz="0" w:space="0" w:color="auto"/>
        <w:left w:val="none" w:sz="0" w:space="0" w:color="auto"/>
        <w:bottom w:val="none" w:sz="0" w:space="0" w:color="auto"/>
        <w:right w:val="none" w:sz="0" w:space="0" w:color="auto"/>
      </w:divBdr>
    </w:div>
    <w:div w:id="1509905803">
      <w:bodyDiv w:val="1"/>
      <w:marLeft w:val="0"/>
      <w:marRight w:val="0"/>
      <w:marTop w:val="0"/>
      <w:marBottom w:val="0"/>
      <w:divBdr>
        <w:top w:val="none" w:sz="0" w:space="0" w:color="auto"/>
        <w:left w:val="none" w:sz="0" w:space="0" w:color="auto"/>
        <w:bottom w:val="none" w:sz="0" w:space="0" w:color="auto"/>
        <w:right w:val="none" w:sz="0" w:space="0" w:color="auto"/>
      </w:divBdr>
    </w:div>
    <w:div w:id="151919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1659</Words>
  <Characters>9457</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11094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Rowell, Lucy {MDBA~Welwyn}</dc:creator>
  <cp:lastModifiedBy>Georgie LEONARD (MCI Petersfield/London)</cp:lastModifiedBy>
  <cp:revision>2</cp:revision>
  <dcterms:created xsi:type="dcterms:W3CDTF">2016-05-16T13:02:00Z</dcterms:created>
  <dcterms:modified xsi:type="dcterms:W3CDTF">2016-05-16T13:02:00Z</dcterms:modified>
</cp:coreProperties>
</file>